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4192" w14:textId="26D05BA6" w:rsidR="00404A42" w:rsidRDefault="00045DE9" w:rsidP="00946A5F">
      <w:pPr>
        <w:spacing w:after="0"/>
        <w:ind w:left="-540" w:right="-540"/>
        <w:rPr>
          <w:rFonts w:ascii="Arial" w:hAnsi="Arial" w:cs="Arial"/>
          <w:b/>
        </w:rPr>
      </w:pPr>
      <w:r w:rsidRPr="00404A42">
        <w:rPr>
          <w:rFonts w:ascii="Arial" w:hAnsi="Arial" w:cs="Arial"/>
          <w:noProof/>
        </w:rPr>
        <mc:AlternateContent>
          <mc:Choice Requires="wps">
            <w:drawing>
              <wp:anchor distT="45720" distB="45720" distL="114300" distR="114300" simplePos="0" relativeHeight="251665408" behindDoc="0" locked="0" layoutInCell="1" allowOverlap="1" wp14:anchorId="6B34FDEF" wp14:editId="1DA8CA92">
                <wp:simplePos x="0" y="0"/>
                <wp:positionH relativeFrom="column">
                  <wp:posOffset>4210051</wp:posOffset>
                </wp:positionH>
                <wp:positionV relativeFrom="page">
                  <wp:posOffset>1200150</wp:posOffset>
                </wp:positionV>
                <wp:extent cx="2233930" cy="4293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429370"/>
                        </a:xfrm>
                        <a:prstGeom prst="rect">
                          <a:avLst/>
                        </a:prstGeom>
                        <a:noFill/>
                        <a:ln w="9525">
                          <a:noFill/>
                          <a:miter lim="800000"/>
                          <a:headEnd/>
                          <a:tailEnd/>
                        </a:ln>
                      </wps:spPr>
                      <wps:txbx>
                        <w:txbxContent>
                          <w:p w14:paraId="4263ADEF" w14:textId="70AEA335" w:rsidR="006A1D51" w:rsidRPr="00045DE9" w:rsidRDefault="00634E89" w:rsidP="00045DE9">
                            <w:pPr>
                              <w:pStyle w:val="Heading2"/>
                              <w:jc w:val="right"/>
                              <w:rPr>
                                <w:b/>
                                <w:bCs/>
                                <w:color w:val="000000" w:themeColor="text1"/>
                                <w:sz w:val="32"/>
                                <w:szCs w:val="32"/>
                              </w:rPr>
                            </w:pPr>
                            <w:r>
                              <w:rPr>
                                <w:b/>
                                <w:bCs/>
                                <w:color w:val="000000" w:themeColor="text1"/>
                                <w:sz w:val="32"/>
                                <w:szCs w:val="32"/>
                              </w:rPr>
                              <w:t>February 5</w:t>
                            </w:r>
                            <w:r w:rsidRPr="00634E89">
                              <w:rPr>
                                <w:b/>
                                <w:bCs/>
                                <w:color w:val="000000" w:themeColor="text1"/>
                                <w:sz w:val="32"/>
                                <w:szCs w:val="32"/>
                                <w:vertAlign w:val="superscript"/>
                              </w:rPr>
                              <w:t>th</w:t>
                            </w:r>
                            <w:r>
                              <w:rPr>
                                <w:b/>
                                <w:bCs/>
                                <w:color w:val="000000" w:themeColor="text1"/>
                                <w:sz w:val="32"/>
                                <w:szCs w:val="32"/>
                              </w:rPr>
                              <w: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4FDEF" id="_x0000_t202" coordsize="21600,21600" o:spt="202" path="m,l,21600r21600,l21600,xe">
                <v:stroke joinstyle="miter"/>
                <v:path gradientshapeok="t" o:connecttype="rect"/>
              </v:shapetype>
              <v:shape id="Text Box 4" o:spid="_x0000_s1026" type="#_x0000_t202" style="position:absolute;left:0;text-align:left;margin-left:331.5pt;margin-top:94.5pt;width:175.9pt;height:33.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" filled="f" stroked="f">
                <v:textbox>
                  <w:txbxContent>
                    <w:p w14:paraId="4263ADEF" w14:textId="70AEA335" w:rsidR="006A1D51" w:rsidRPr="00045DE9" w:rsidRDefault="00634E89" w:rsidP="00045DE9">
                      <w:pPr>
                        <w:pStyle w:val="Heading2"/>
                        <w:jc w:val="right"/>
                        <w:rPr>
                          <w:b/>
                          <w:bCs/>
                          <w:color w:val="000000" w:themeColor="text1"/>
                          <w:sz w:val="32"/>
                          <w:szCs w:val="32"/>
                        </w:rPr>
                      </w:pPr>
                      <w:r>
                        <w:rPr>
                          <w:b/>
                          <w:bCs/>
                          <w:color w:val="000000" w:themeColor="text1"/>
                          <w:sz w:val="32"/>
                          <w:szCs w:val="32"/>
                        </w:rPr>
                        <w:t>February 5</w:t>
                      </w:r>
                      <w:r w:rsidRPr="00634E89">
                        <w:rPr>
                          <w:b/>
                          <w:bCs/>
                          <w:color w:val="000000" w:themeColor="text1"/>
                          <w:sz w:val="32"/>
                          <w:szCs w:val="32"/>
                          <w:vertAlign w:val="superscript"/>
                        </w:rPr>
                        <w:t>th</w:t>
                      </w:r>
                      <w:r>
                        <w:rPr>
                          <w:b/>
                          <w:bCs/>
                          <w:color w:val="000000" w:themeColor="text1"/>
                          <w:sz w:val="32"/>
                          <w:szCs w:val="32"/>
                        </w:rPr>
                        <w:t>, 2026</w:t>
                      </w:r>
                    </w:p>
                  </w:txbxContent>
                </v:textbox>
                <w10:wrap anchory="page"/>
              </v:shape>
            </w:pict>
          </mc:Fallback>
        </mc:AlternateContent>
      </w:r>
      <w:r w:rsidRPr="00404A42">
        <w:rPr>
          <w:rFonts w:ascii="Arial" w:hAnsi="Arial" w:cs="Arial"/>
          <w:noProof/>
        </w:rPr>
        <mc:AlternateContent>
          <mc:Choice Requires="wps">
            <w:drawing>
              <wp:anchor distT="45720" distB="45720" distL="114300" distR="114300" simplePos="0" relativeHeight="251663360" behindDoc="0" locked="0" layoutInCell="1" allowOverlap="1" wp14:anchorId="481B8407" wp14:editId="325112C0">
                <wp:simplePos x="0" y="0"/>
                <wp:positionH relativeFrom="column">
                  <wp:posOffset>1050649</wp:posOffset>
                </wp:positionH>
                <wp:positionV relativeFrom="page">
                  <wp:posOffset>1200150</wp:posOffset>
                </wp:positionV>
                <wp:extent cx="1248355" cy="38961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355" cy="389614"/>
                        </a:xfrm>
                        <a:prstGeom prst="rect">
                          <a:avLst/>
                        </a:prstGeom>
                        <a:noFill/>
                        <a:ln w="9525">
                          <a:noFill/>
                          <a:miter lim="800000"/>
                          <a:headEnd/>
                          <a:tailEnd/>
                        </a:ln>
                      </wps:spPr>
                      <wps:txbx>
                        <w:txbxContent>
                          <w:p w14:paraId="01B562B5" w14:textId="7F29331D" w:rsidR="006A1D51" w:rsidRPr="00045DE9" w:rsidRDefault="0092223B" w:rsidP="00045DE9">
                            <w:pPr>
                              <w:pStyle w:val="Heading2"/>
                              <w:rPr>
                                <w:b/>
                                <w:bCs/>
                                <w:color w:val="000000" w:themeColor="text1"/>
                                <w:sz w:val="32"/>
                                <w:szCs w:val="32"/>
                              </w:rPr>
                            </w:pPr>
                            <w:r w:rsidRPr="00045DE9">
                              <w:rPr>
                                <w:b/>
                                <w:bCs/>
                                <w:color w:val="000000" w:themeColor="text1"/>
                                <w:sz w:val="32"/>
                                <w:szCs w:val="32"/>
                              </w:rPr>
                              <w:t>CI/KR Ticker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B8407" id="Text Box 2" o:spid="_x0000_s1027" type="#_x0000_t202" style="position:absolute;left:0;text-align:left;margin-left:82.75pt;margin-top:94.5pt;width:98.3pt;height:30.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" filled="f" stroked="f">
                <v:textbox>
                  <w:txbxContent>
                    <w:p w14:paraId="01B562B5" w14:textId="7F29331D" w:rsidR="006A1D51" w:rsidRPr="00045DE9" w:rsidRDefault="0092223B" w:rsidP="00045DE9">
                      <w:pPr>
                        <w:pStyle w:val="Heading2"/>
                        <w:rPr>
                          <w:b/>
                          <w:bCs/>
                          <w:color w:val="000000" w:themeColor="text1"/>
                          <w:sz w:val="32"/>
                          <w:szCs w:val="32"/>
                        </w:rPr>
                      </w:pPr>
                      <w:r w:rsidRPr="00045DE9">
                        <w:rPr>
                          <w:b/>
                          <w:bCs/>
                          <w:color w:val="000000" w:themeColor="text1"/>
                          <w:sz w:val="32"/>
                          <w:szCs w:val="32"/>
                        </w:rPr>
                        <w:t>CI/KR Ticker</w:t>
                      </w:r>
                    </w:p>
                  </w:txbxContent>
                </v:textbox>
                <w10:wrap anchory="page"/>
              </v:shape>
            </w:pict>
          </mc:Fallback>
        </mc:AlternateContent>
      </w:r>
      <w:r w:rsidRPr="00404A42">
        <w:rPr>
          <w:rFonts w:ascii="Arial" w:hAnsi="Arial" w:cs="Arial"/>
          <w:noProof/>
        </w:rPr>
        <mc:AlternateContent>
          <mc:Choice Requires="wps">
            <w:drawing>
              <wp:anchor distT="45720" distB="45720" distL="114300" distR="114300" simplePos="0" relativeHeight="251661312" behindDoc="0" locked="0" layoutInCell="1" allowOverlap="1" wp14:anchorId="44F7C11F" wp14:editId="7AAEEC51">
                <wp:simplePos x="0" y="0"/>
                <wp:positionH relativeFrom="column">
                  <wp:posOffset>970060</wp:posOffset>
                </wp:positionH>
                <wp:positionV relativeFrom="page">
                  <wp:posOffset>652007</wp:posOffset>
                </wp:positionV>
                <wp:extent cx="5472154" cy="5486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154" cy="548640"/>
                        </a:xfrm>
                        <a:prstGeom prst="rect">
                          <a:avLst/>
                        </a:prstGeom>
                        <a:noFill/>
                        <a:ln w="9525">
                          <a:noFill/>
                          <a:miter lim="800000"/>
                          <a:headEnd/>
                          <a:tailEnd/>
                        </a:ln>
                      </wps:spPr>
                      <wps:txbx>
                        <w:txbxContent>
                          <w:p w14:paraId="7E11CDAD" w14:textId="77777777" w:rsidR="00863095" w:rsidRPr="00045DE9" w:rsidRDefault="00FB3010" w:rsidP="00045DE9">
                            <w:pPr>
                              <w:pStyle w:val="Heading1"/>
                              <w:rPr>
                                <w:b/>
                                <w:color w:val="000000" w:themeColor="text1"/>
                              </w:rPr>
                            </w:pPr>
                            <w:r w:rsidRPr="00045DE9">
                              <w:rPr>
                                <w:b/>
                                <w:color w:val="000000" w:themeColor="text1"/>
                              </w:rPr>
                              <w:t>NORTH DAKOTA STATE AND LOCAL INTELLIGENCE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7C11F" id="_x0000_s1028" type="#_x0000_t202" style="position:absolute;left:0;text-align:left;margin-left:76.4pt;margin-top:51.35pt;width:430.9pt;height: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" filled="f" stroked="f">
                <v:textbox>
                  <w:txbxContent>
                    <w:p w14:paraId="7E11CDAD" w14:textId="77777777" w:rsidR="00863095" w:rsidRPr="00045DE9" w:rsidRDefault="00FB3010" w:rsidP="00045DE9">
                      <w:pPr>
                        <w:pStyle w:val="Heading1"/>
                        <w:rPr>
                          <w:b/>
                          <w:color w:val="000000" w:themeColor="text1"/>
                        </w:rPr>
                      </w:pPr>
                      <w:r w:rsidRPr="00045DE9">
                        <w:rPr>
                          <w:b/>
                          <w:color w:val="000000" w:themeColor="text1"/>
                        </w:rPr>
                        <w:t>NORTH DAKOTA STATE AND LOCAL INTELLIGENCE CENTER</w:t>
                      </w:r>
                    </w:p>
                  </w:txbxContent>
                </v:textbox>
                <w10:wrap anchory="page"/>
              </v:shape>
            </w:pict>
          </mc:Fallback>
        </mc:AlternateContent>
      </w:r>
      <w:r w:rsidR="00351323" w:rsidRPr="00351323">
        <w:rPr>
          <w:noProof/>
        </w:rPr>
        <w:drawing>
          <wp:anchor distT="0" distB="0" distL="114300" distR="114300" simplePos="0" relativeHeight="251657215" behindDoc="0" locked="0" layoutInCell="1" allowOverlap="1" wp14:anchorId="56C9993A" wp14:editId="4C1B7DD8">
            <wp:simplePos x="0" y="0"/>
            <wp:positionH relativeFrom="column">
              <wp:posOffset>-476250</wp:posOffset>
            </wp:positionH>
            <wp:positionV relativeFrom="paragraph">
              <wp:posOffset>-476250</wp:posOffset>
            </wp:positionV>
            <wp:extent cx="1314450" cy="1314450"/>
            <wp:effectExtent l="0" t="0" r="0" b="0"/>
            <wp:wrapNone/>
            <wp:docPr id="5" name="Picture 1" descr="North Dakota State and Local Intelligen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North Dakota State and Local Intelligence Center"/>
                    <pic:cNvPicPr>
                      <a:picLocks noChangeAspect="1"/>
                    </pic:cNvPicPr>
                  </pic:nvPicPr>
                  <pic:blipFill>
                    <a:blip r:embed="rId9" cstate="print">
                      <a:extLst>
                        <a:ext uri="{BEBA8EAE-BF5A-486C-A8C5-ECC9F3942E4B}">
                          <a14:imgProps xmlns:a14="http://schemas.microsoft.com/office/drawing/2010/main">
                            <a14:imgLayer r:embed="rId10">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margin">
              <wp14:pctWidth>0</wp14:pctWidth>
            </wp14:sizeRelH>
            <wp14:sizeRelV relativeFrom="margin">
              <wp14:pctHeight>0</wp14:pctHeight>
            </wp14:sizeRelV>
          </wp:anchor>
        </w:drawing>
      </w:r>
      <w:r w:rsidR="000669CC">
        <w:br/>
      </w:r>
      <w:r w:rsidR="000669CC">
        <w:br/>
      </w:r>
      <w:r w:rsidR="000669CC">
        <w:br/>
      </w:r>
      <w:r w:rsidR="000669CC">
        <w:br/>
      </w:r>
      <w:r w:rsidR="000669CC">
        <w:br/>
      </w:r>
      <w:r w:rsidR="00FB3010" w:rsidRPr="00404A42">
        <w:rPr>
          <w:rFonts w:ascii="Arial" w:hAnsi="Arial" w:cs="Arial"/>
          <w:noProof/>
        </w:rPr>
        <mc:AlternateContent>
          <mc:Choice Requires="wps">
            <w:drawing>
              <wp:anchor distT="0" distB="0" distL="114300" distR="114300" simplePos="0" relativeHeight="251659264" behindDoc="0" locked="0" layoutInCell="1" allowOverlap="1" wp14:anchorId="176EECF3" wp14:editId="6D357D28">
                <wp:simplePos x="0" y="0"/>
                <wp:positionH relativeFrom="column">
                  <wp:posOffset>1047750</wp:posOffset>
                </wp:positionH>
                <wp:positionV relativeFrom="paragraph">
                  <wp:posOffset>228600</wp:posOffset>
                </wp:positionV>
                <wp:extent cx="5391150" cy="0"/>
                <wp:effectExtent l="57150" t="76200" r="76200" b="114300"/>
                <wp:wrapNone/>
                <wp:docPr id="1" name="Straight Connector 1" descr="North Dakota State and Local Intelligence Center"/>
                <wp:cNvGraphicFramePr/>
                <a:graphic xmlns:a="http://schemas.openxmlformats.org/drawingml/2006/main">
                  <a:graphicData uri="http://schemas.microsoft.com/office/word/2010/wordprocessingShape">
                    <wps:wsp>
                      <wps:cNvCnPr/>
                      <wps:spPr>
                        <a:xfrm>
                          <a:off x="0" y="0"/>
                          <a:ext cx="5391150" cy="0"/>
                        </a:xfrm>
                        <a:prstGeom prst="line">
                          <a:avLst/>
                        </a:prstGeom>
                        <a:ln w="31750"/>
                        <a:effectLst>
                          <a:outerShdw blurRad="50800" dist="38100" dir="2700000" algn="tl" rotWithShape="0">
                            <a:prstClr val="black">
                              <a:alpha val="40000"/>
                            </a:prstClr>
                          </a:outerShdw>
                        </a:effectLst>
                        <a:scene3d>
                          <a:camera prst="orthographicFront"/>
                          <a:lightRig rig="threePt" dir="t"/>
                        </a:scene3d>
                        <a:sp3d>
                          <a:bevelT w="165100" prst="coolSlant"/>
                        </a:sp3d>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4ED30D4A" id="Straight Connector 1" o:spid="_x0000_s1026" alt="North Dakota State and Local Intelligence Center"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18pt" to="5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" strokecolor="#4472c4 [3208]" strokeweight="2.5pt">
                <v:stroke joinstyle="miter"/>
                <v:shadow on="t" color="black" opacity="26214f" origin="-.5,-.5" offset=".74836mm,.74836mm"/>
              </v:line>
            </w:pict>
          </mc:Fallback>
        </mc:AlternateContent>
      </w:r>
    </w:p>
    <w:p w14:paraId="25C4496B" w14:textId="77777777" w:rsidR="00F73799" w:rsidRPr="000349E5" w:rsidRDefault="00681ECC" w:rsidP="000349E5">
      <w:pPr>
        <w:pStyle w:val="Heading2"/>
        <w:jc w:val="center"/>
        <w:rPr>
          <w:b/>
          <w:bCs/>
          <w:color w:val="000000" w:themeColor="text1"/>
          <w:sz w:val="32"/>
          <w:szCs w:val="32"/>
        </w:rPr>
      </w:pPr>
      <w:r w:rsidRPr="000349E5">
        <w:rPr>
          <w:b/>
          <w:bCs/>
          <w:color w:val="000000" w:themeColor="text1"/>
          <w:sz w:val="32"/>
          <w:szCs w:val="32"/>
        </w:rPr>
        <w:t>Included In This Summary</w:t>
      </w:r>
    </w:p>
    <w:p w14:paraId="76415D5E" w14:textId="77777777" w:rsidR="001B6795" w:rsidRPr="000349E5" w:rsidRDefault="00251B36" w:rsidP="00681ECC">
      <w:pPr>
        <w:spacing w:after="0"/>
        <w:ind w:left="-540" w:right="-540"/>
        <w:jc w:val="center"/>
        <w:rPr>
          <w:rFonts w:cstheme="minorHAnsi"/>
          <w:b/>
          <w:bCs/>
        </w:rPr>
      </w:pPr>
      <w:r w:rsidRPr="000349E5">
        <w:rPr>
          <w:rFonts w:cstheme="minorHAnsi"/>
          <w:b/>
          <w:bCs/>
          <w:sz w:val="20"/>
          <w:szCs w:val="20"/>
        </w:rPr>
        <w:t>Click on the section header to go directly to that location in the summary.</w:t>
      </w:r>
    </w:p>
    <w:p w14:paraId="44A7D4A3" w14:textId="77777777" w:rsidR="00251B36" w:rsidRDefault="00251B36" w:rsidP="001B6795">
      <w:pPr>
        <w:spacing w:after="0"/>
        <w:ind w:left="-540" w:right="-540"/>
        <w:rPr>
          <w:rFonts w:ascii="Arial" w:hAnsi="Arial" w:cs="Arial"/>
        </w:rPr>
      </w:pPr>
    </w:p>
    <w:p w14:paraId="759543DC" w14:textId="77777777" w:rsidR="00251B36" w:rsidRDefault="00251B36" w:rsidP="001B6795">
      <w:pPr>
        <w:spacing w:after="0"/>
        <w:ind w:left="-540" w:right="-540"/>
        <w:rPr>
          <w:rFonts w:ascii="Arial" w:hAnsi="Arial" w:cs="Arial"/>
        </w:rPr>
      </w:pPr>
    </w:p>
    <w:p w14:paraId="0CAC4F3A" w14:textId="643BE467" w:rsidR="00D57EBD" w:rsidRDefault="00251B36" w:rsidP="00217CAD">
      <w:pPr>
        <w:pStyle w:val="Heading3"/>
        <w:spacing w:before="0" w:after="80"/>
        <w:ind w:left="-547"/>
        <w:rPr>
          <w:rFonts w:cstheme="majorHAnsi"/>
          <w:sz w:val="28"/>
          <w:szCs w:val="28"/>
        </w:rPr>
      </w:pPr>
      <w:hyperlink w:anchor="_NORTH_DAKOTA_AND" w:history="1">
        <w:r w:rsidRPr="00FD4CF8">
          <w:rPr>
            <w:rStyle w:val="Hyperlink"/>
            <w:rFonts w:cstheme="majorHAnsi"/>
            <w:b/>
            <w:sz w:val="28"/>
            <w:szCs w:val="28"/>
          </w:rPr>
          <w:t>NORTH DAKOTA AND REGIONAL</w:t>
        </w:r>
      </w:hyperlink>
    </w:p>
    <w:p w14:paraId="4291B5E4" w14:textId="761D1240" w:rsidR="000349E5" w:rsidRDefault="00BB282F" w:rsidP="00176D5B">
      <w:pPr>
        <w:spacing w:after="0" w:line="240" w:lineRule="auto"/>
        <w:rPr>
          <w:b/>
          <w:bCs/>
          <w:sz w:val="28"/>
          <w:szCs w:val="28"/>
        </w:rPr>
      </w:pPr>
      <w:r w:rsidRPr="000C3711">
        <w:rPr>
          <w:b/>
          <w:bCs/>
          <w:sz w:val="28"/>
          <w:szCs w:val="28"/>
        </w:rPr>
        <w:t xml:space="preserve">(U) </w:t>
      </w:r>
      <w:r w:rsidR="000C3711" w:rsidRPr="000C3711">
        <w:rPr>
          <w:b/>
          <w:bCs/>
          <w:sz w:val="28"/>
          <w:szCs w:val="28"/>
        </w:rPr>
        <w:t>The Middle Three Forks (2nd Bench) in the Bakken Petroleum System</w:t>
      </w:r>
    </w:p>
    <w:p w14:paraId="25F39B9D" w14:textId="635C52F8" w:rsidR="000C3711" w:rsidRDefault="000C3711" w:rsidP="00EB29BB">
      <w:pPr>
        <w:spacing w:after="0" w:line="240" w:lineRule="auto"/>
        <w:rPr>
          <w:b/>
          <w:bCs/>
          <w:sz w:val="28"/>
          <w:szCs w:val="28"/>
        </w:rPr>
      </w:pPr>
      <w:r>
        <w:rPr>
          <w:b/>
          <w:bCs/>
          <w:sz w:val="28"/>
          <w:szCs w:val="28"/>
        </w:rPr>
        <w:t xml:space="preserve">(U) </w:t>
      </w:r>
      <w:r w:rsidR="004C2197" w:rsidRPr="004C2197">
        <w:rPr>
          <w:b/>
          <w:bCs/>
          <w:sz w:val="28"/>
          <w:szCs w:val="28"/>
        </w:rPr>
        <w:t>MDU Explains Power Conservation Request</w:t>
      </w:r>
    </w:p>
    <w:p w14:paraId="468B90B0" w14:textId="1E8F5DED" w:rsidR="004C2197" w:rsidRDefault="004C2197" w:rsidP="00EB29BB">
      <w:pPr>
        <w:spacing w:after="0" w:line="240" w:lineRule="auto"/>
        <w:rPr>
          <w:b/>
          <w:bCs/>
          <w:sz w:val="28"/>
          <w:szCs w:val="28"/>
        </w:rPr>
      </w:pPr>
      <w:r>
        <w:rPr>
          <w:b/>
          <w:bCs/>
          <w:sz w:val="28"/>
          <w:szCs w:val="28"/>
        </w:rPr>
        <w:t xml:space="preserve">(U) </w:t>
      </w:r>
      <w:r w:rsidR="00A60B50" w:rsidRPr="00A60B50">
        <w:rPr>
          <w:b/>
          <w:bCs/>
          <w:sz w:val="28"/>
          <w:szCs w:val="28"/>
        </w:rPr>
        <w:t>Continental Resources to Stop Drilling in North Dakota for Now</w:t>
      </w:r>
    </w:p>
    <w:p w14:paraId="1220B980" w14:textId="77777777" w:rsidR="009D3DC3" w:rsidRDefault="00181909" w:rsidP="002D6175">
      <w:pPr>
        <w:spacing w:after="0" w:line="240" w:lineRule="auto"/>
        <w:rPr>
          <w:b/>
          <w:bCs/>
          <w:sz w:val="28"/>
          <w:szCs w:val="28"/>
        </w:rPr>
      </w:pPr>
      <w:r>
        <w:rPr>
          <w:b/>
          <w:bCs/>
          <w:sz w:val="28"/>
          <w:szCs w:val="28"/>
        </w:rPr>
        <w:t xml:space="preserve">(U) </w:t>
      </w:r>
      <w:r w:rsidRPr="00181909">
        <w:rPr>
          <w:b/>
          <w:bCs/>
          <w:sz w:val="28"/>
          <w:szCs w:val="28"/>
        </w:rPr>
        <w:t xml:space="preserve">Armstrong To Energy Secretary Wright: North Dakota Can Play an Outsized </w:t>
      </w:r>
      <w:r>
        <w:rPr>
          <w:b/>
          <w:bCs/>
          <w:sz w:val="28"/>
          <w:szCs w:val="28"/>
        </w:rPr>
        <w:t xml:space="preserve">   </w:t>
      </w:r>
      <w:r w:rsidR="002D6175">
        <w:rPr>
          <w:b/>
          <w:bCs/>
          <w:sz w:val="28"/>
          <w:szCs w:val="28"/>
        </w:rPr>
        <w:t xml:space="preserve">        </w:t>
      </w:r>
    </w:p>
    <w:p w14:paraId="5D4ED5F8" w14:textId="16D22A6B" w:rsidR="00A60B50" w:rsidRPr="000C3711" w:rsidRDefault="009D3DC3" w:rsidP="002D6175">
      <w:pPr>
        <w:spacing w:after="0" w:line="240" w:lineRule="auto"/>
        <w:rPr>
          <w:b/>
          <w:bCs/>
          <w:sz w:val="28"/>
          <w:szCs w:val="28"/>
        </w:rPr>
      </w:pPr>
      <w:r>
        <w:rPr>
          <w:b/>
          <w:bCs/>
          <w:sz w:val="28"/>
          <w:szCs w:val="28"/>
        </w:rPr>
        <w:t xml:space="preserve">       </w:t>
      </w:r>
      <w:r w:rsidR="00181909" w:rsidRPr="00181909">
        <w:rPr>
          <w:b/>
          <w:bCs/>
          <w:sz w:val="28"/>
          <w:szCs w:val="28"/>
        </w:rPr>
        <w:t>Role in U.S. Energy Dominance</w:t>
      </w:r>
    </w:p>
    <w:p w14:paraId="4968275B" w14:textId="77777777" w:rsidR="00681ECC" w:rsidRPr="00681ECC" w:rsidRDefault="00681ECC" w:rsidP="001B6795">
      <w:pPr>
        <w:spacing w:after="0"/>
        <w:ind w:left="-540" w:right="-540"/>
        <w:rPr>
          <w:rFonts w:ascii="Arial" w:hAnsi="Arial" w:cs="Arial"/>
          <w:b/>
        </w:rPr>
      </w:pPr>
    </w:p>
    <w:p w14:paraId="3BBAAC3E" w14:textId="77777777" w:rsidR="00251B36" w:rsidRPr="00251B36" w:rsidRDefault="00251B36" w:rsidP="001B6795">
      <w:pPr>
        <w:spacing w:after="0"/>
        <w:ind w:left="-540" w:right="-540"/>
        <w:rPr>
          <w:rFonts w:ascii="Arial" w:hAnsi="Arial" w:cs="Arial"/>
        </w:rPr>
      </w:pPr>
    </w:p>
    <w:p w14:paraId="3DDA5EDA" w14:textId="0DB2622D" w:rsidR="00681ECC" w:rsidRDefault="00251B36" w:rsidP="00217CAD">
      <w:pPr>
        <w:pStyle w:val="Heading3"/>
        <w:spacing w:before="0" w:after="80"/>
        <w:ind w:left="-547"/>
        <w:rPr>
          <w:rFonts w:cstheme="majorHAnsi"/>
          <w:sz w:val="28"/>
          <w:szCs w:val="28"/>
        </w:rPr>
      </w:pPr>
      <w:hyperlink w:anchor="_NATIONAL" w:history="1">
        <w:r w:rsidRPr="00FD4CF8">
          <w:rPr>
            <w:rStyle w:val="Hyperlink"/>
            <w:rFonts w:cstheme="majorHAnsi"/>
            <w:b/>
            <w:sz w:val="28"/>
            <w:szCs w:val="28"/>
          </w:rPr>
          <w:t>NATIONAL</w:t>
        </w:r>
      </w:hyperlink>
    </w:p>
    <w:p w14:paraId="292ADD33" w14:textId="6E1BEA7F" w:rsidR="00BB282F" w:rsidRDefault="00DE1975" w:rsidP="002220D0">
      <w:pPr>
        <w:spacing w:after="0" w:line="240" w:lineRule="auto"/>
        <w:rPr>
          <w:b/>
          <w:bCs/>
          <w:sz w:val="28"/>
          <w:szCs w:val="28"/>
        </w:rPr>
      </w:pPr>
      <w:proofErr w:type="gramStart"/>
      <w:r>
        <w:rPr>
          <w:b/>
          <w:bCs/>
          <w:sz w:val="28"/>
          <w:szCs w:val="28"/>
        </w:rPr>
        <w:t xml:space="preserve">(U) </w:t>
      </w:r>
      <w:r w:rsidRPr="00DE1975">
        <w:rPr>
          <w:b/>
          <w:bCs/>
          <w:sz w:val="28"/>
          <w:szCs w:val="28"/>
        </w:rPr>
        <w:t>Major Power</w:t>
      </w:r>
      <w:proofErr w:type="gramEnd"/>
      <w:r w:rsidRPr="00DE1975">
        <w:rPr>
          <w:b/>
          <w:bCs/>
          <w:sz w:val="28"/>
          <w:szCs w:val="28"/>
        </w:rPr>
        <w:t xml:space="preserve"> Line Expansions </w:t>
      </w:r>
      <w:proofErr w:type="gramStart"/>
      <w:r w:rsidR="000E42BA">
        <w:rPr>
          <w:b/>
          <w:bCs/>
          <w:sz w:val="28"/>
          <w:szCs w:val="28"/>
        </w:rPr>
        <w:t>will</w:t>
      </w:r>
      <w:proofErr w:type="gramEnd"/>
      <w:r w:rsidRPr="00DE1975">
        <w:rPr>
          <w:b/>
          <w:bCs/>
          <w:sz w:val="28"/>
          <w:szCs w:val="28"/>
        </w:rPr>
        <w:t xml:space="preserve"> Fuel Future Growth in S</w:t>
      </w:r>
      <w:r w:rsidR="003935DE">
        <w:rPr>
          <w:b/>
          <w:bCs/>
          <w:sz w:val="28"/>
          <w:szCs w:val="28"/>
        </w:rPr>
        <w:t>outh Dakota</w:t>
      </w:r>
    </w:p>
    <w:p w14:paraId="68A738C7" w14:textId="24336680" w:rsidR="00D51D3B" w:rsidRDefault="00D51D3B" w:rsidP="002220D0">
      <w:pPr>
        <w:spacing w:after="0" w:line="240" w:lineRule="auto"/>
        <w:rPr>
          <w:b/>
          <w:bCs/>
          <w:sz w:val="28"/>
          <w:szCs w:val="28"/>
        </w:rPr>
      </w:pPr>
      <w:r>
        <w:rPr>
          <w:b/>
          <w:bCs/>
          <w:sz w:val="28"/>
          <w:szCs w:val="28"/>
        </w:rPr>
        <w:t xml:space="preserve">(U) </w:t>
      </w:r>
      <w:r w:rsidRPr="00D51D3B">
        <w:rPr>
          <w:b/>
          <w:bCs/>
          <w:sz w:val="28"/>
          <w:szCs w:val="28"/>
        </w:rPr>
        <w:t>Underwater Cameras Could Help Unlock America’s Tidal Energy Industry</w:t>
      </w:r>
    </w:p>
    <w:p w14:paraId="4ADEC815" w14:textId="77777777" w:rsidR="002220D0" w:rsidRDefault="00D51D3B" w:rsidP="002220D0">
      <w:pPr>
        <w:spacing w:after="0" w:line="240" w:lineRule="auto"/>
        <w:rPr>
          <w:b/>
          <w:bCs/>
          <w:sz w:val="28"/>
          <w:szCs w:val="28"/>
        </w:rPr>
      </w:pPr>
      <w:r>
        <w:rPr>
          <w:b/>
          <w:bCs/>
          <w:sz w:val="28"/>
          <w:szCs w:val="28"/>
        </w:rPr>
        <w:t xml:space="preserve">(U) </w:t>
      </w:r>
      <w:r w:rsidR="00456B8A" w:rsidRPr="00456B8A">
        <w:rPr>
          <w:b/>
          <w:bCs/>
          <w:sz w:val="28"/>
          <w:szCs w:val="28"/>
        </w:rPr>
        <w:t xml:space="preserve">Devon Energy and </w:t>
      </w:r>
      <w:proofErr w:type="spellStart"/>
      <w:r w:rsidR="00456B8A" w:rsidRPr="00456B8A">
        <w:rPr>
          <w:b/>
          <w:bCs/>
          <w:sz w:val="28"/>
          <w:szCs w:val="28"/>
        </w:rPr>
        <w:t>Coterra</w:t>
      </w:r>
      <w:proofErr w:type="spellEnd"/>
      <w:r w:rsidR="00456B8A" w:rsidRPr="00456B8A">
        <w:rPr>
          <w:b/>
          <w:bCs/>
          <w:sz w:val="28"/>
          <w:szCs w:val="28"/>
        </w:rPr>
        <w:t xml:space="preserve"> Energy to Combine, Creating a Premier Shale </w:t>
      </w:r>
      <w:r w:rsidR="00456B8A">
        <w:rPr>
          <w:b/>
          <w:bCs/>
          <w:sz w:val="28"/>
          <w:szCs w:val="28"/>
        </w:rPr>
        <w:t xml:space="preserve">           </w:t>
      </w:r>
      <w:r w:rsidR="00176D5B">
        <w:rPr>
          <w:b/>
          <w:bCs/>
          <w:sz w:val="28"/>
          <w:szCs w:val="28"/>
        </w:rPr>
        <w:t xml:space="preserve">          </w:t>
      </w:r>
      <w:r w:rsidR="002220D0">
        <w:rPr>
          <w:b/>
          <w:bCs/>
          <w:sz w:val="28"/>
          <w:szCs w:val="28"/>
        </w:rPr>
        <w:t xml:space="preserve">    </w:t>
      </w:r>
    </w:p>
    <w:p w14:paraId="2DB8AEBF" w14:textId="2A44CDF6" w:rsidR="00D51D3B" w:rsidRDefault="002220D0" w:rsidP="002220D0">
      <w:pPr>
        <w:spacing w:after="0" w:line="240" w:lineRule="auto"/>
        <w:rPr>
          <w:b/>
          <w:bCs/>
          <w:sz w:val="28"/>
          <w:szCs w:val="28"/>
        </w:rPr>
      </w:pPr>
      <w:r>
        <w:rPr>
          <w:b/>
          <w:bCs/>
          <w:sz w:val="28"/>
          <w:szCs w:val="28"/>
        </w:rPr>
        <w:t xml:space="preserve">       </w:t>
      </w:r>
      <w:r w:rsidR="00456B8A" w:rsidRPr="00456B8A">
        <w:rPr>
          <w:b/>
          <w:bCs/>
          <w:sz w:val="28"/>
          <w:szCs w:val="28"/>
        </w:rPr>
        <w:t>Operator</w:t>
      </w:r>
    </w:p>
    <w:p w14:paraId="3AB144BD" w14:textId="77777777" w:rsidR="00E27F1A" w:rsidRDefault="002220D0" w:rsidP="002220D0">
      <w:pPr>
        <w:spacing w:after="0" w:line="240" w:lineRule="auto"/>
        <w:rPr>
          <w:b/>
          <w:bCs/>
          <w:sz w:val="28"/>
          <w:szCs w:val="28"/>
        </w:rPr>
      </w:pPr>
      <w:r>
        <w:rPr>
          <w:b/>
          <w:bCs/>
          <w:sz w:val="28"/>
          <w:szCs w:val="28"/>
        </w:rPr>
        <w:t xml:space="preserve">(U) </w:t>
      </w:r>
      <w:r w:rsidR="00E27F1A" w:rsidRPr="00E27F1A">
        <w:rPr>
          <w:b/>
          <w:bCs/>
          <w:sz w:val="28"/>
          <w:szCs w:val="28"/>
        </w:rPr>
        <w:t xml:space="preserve">US Drillers Add Oil and Gas Rigs for Second Week in a Row, Baker Hughes </w:t>
      </w:r>
      <w:r w:rsidR="00E27F1A">
        <w:rPr>
          <w:b/>
          <w:bCs/>
          <w:sz w:val="28"/>
          <w:szCs w:val="28"/>
        </w:rPr>
        <w:t xml:space="preserve">  </w:t>
      </w:r>
    </w:p>
    <w:p w14:paraId="478D4263" w14:textId="330F1652" w:rsidR="002220D0" w:rsidRDefault="00E27F1A" w:rsidP="002220D0">
      <w:pPr>
        <w:spacing w:after="0" w:line="240" w:lineRule="auto"/>
        <w:rPr>
          <w:b/>
          <w:bCs/>
          <w:sz w:val="28"/>
          <w:szCs w:val="28"/>
        </w:rPr>
      </w:pPr>
      <w:r>
        <w:rPr>
          <w:b/>
          <w:bCs/>
          <w:sz w:val="28"/>
          <w:szCs w:val="28"/>
        </w:rPr>
        <w:t xml:space="preserve">       </w:t>
      </w:r>
      <w:proofErr w:type="gramStart"/>
      <w:r w:rsidRPr="00E27F1A">
        <w:rPr>
          <w:b/>
          <w:bCs/>
          <w:sz w:val="28"/>
          <w:szCs w:val="28"/>
        </w:rPr>
        <w:t>Says</w:t>
      </w:r>
      <w:proofErr w:type="gramEnd"/>
    </w:p>
    <w:p w14:paraId="27F57582" w14:textId="77777777" w:rsidR="00251B36" w:rsidRDefault="00251B36" w:rsidP="00E27F1A">
      <w:pPr>
        <w:spacing w:after="0"/>
        <w:ind w:right="-540"/>
        <w:rPr>
          <w:b/>
          <w:bCs/>
          <w:sz w:val="28"/>
          <w:szCs w:val="28"/>
        </w:rPr>
      </w:pPr>
    </w:p>
    <w:p w14:paraId="1B93257D" w14:textId="77777777" w:rsidR="00E27F1A" w:rsidRPr="00251B36" w:rsidRDefault="00E27F1A" w:rsidP="00E27F1A">
      <w:pPr>
        <w:spacing w:after="0"/>
        <w:ind w:right="-540"/>
        <w:rPr>
          <w:rFonts w:ascii="Arial" w:hAnsi="Arial" w:cs="Arial"/>
        </w:rPr>
      </w:pPr>
    </w:p>
    <w:p w14:paraId="3A1A7C59" w14:textId="1E3D4ED7" w:rsidR="00681ECC" w:rsidRDefault="00251B36" w:rsidP="00217CAD">
      <w:pPr>
        <w:pStyle w:val="Heading3"/>
        <w:spacing w:before="0" w:after="80"/>
        <w:ind w:left="-547"/>
        <w:rPr>
          <w:rFonts w:cstheme="majorHAnsi"/>
          <w:sz w:val="28"/>
          <w:szCs w:val="28"/>
        </w:rPr>
      </w:pPr>
      <w:hyperlink w:anchor="_INTERNATIONAL" w:history="1">
        <w:r w:rsidRPr="00FD4CF8">
          <w:rPr>
            <w:rStyle w:val="Hyperlink"/>
            <w:rFonts w:cstheme="majorHAnsi"/>
            <w:b/>
            <w:sz w:val="28"/>
            <w:szCs w:val="28"/>
          </w:rPr>
          <w:t>INTERNATIONAL</w:t>
        </w:r>
      </w:hyperlink>
    </w:p>
    <w:p w14:paraId="03A123AD" w14:textId="7EFA39C2" w:rsidR="00BB282F" w:rsidRDefault="00BB282F" w:rsidP="00E63A99">
      <w:pPr>
        <w:spacing w:after="0" w:line="240" w:lineRule="auto"/>
        <w:rPr>
          <w:b/>
          <w:bCs/>
          <w:sz w:val="28"/>
          <w:szCs w:val="28"/>
        </w:rPr>
      </w:pPr>
      <w:r w:rsidRPr="00E63A99">
        <w:rPr>
          <w:b/>
          <w:bCs/>
          <w:sz w:val="28"/>
          <w:szCs w:val="28"/>
        </w:rPr>
        <w:t xml:space="preserve">(U) </w:t>
      </w:r>
      <w:proofErr w:type="spellStart"/>
      <w:r w:rsidR="00E63A99" w:rsidRPr="00E63A99">
        <w:rPr>
          <w:b/>
          <w:bCs/>
          <w:sz w:val="28"/>
          <w:szCs w:val="28"/>
        </w:rPr>
        <w:t>Atiaia</w:t>
      </w:r>
      <w:proofErr w:type="spellEnd"/>
      <w:r w:rsidR="00E63A99" w:rsidRPr="00E63A99">
        <w:rPr>
          <w:b/>
          <w:bCs/>
          <w:sz w:val="28"/>
          <w:szCs w:val="28"/>
        </w:rPr>
        <w:t xml:space="preserve"> Cancels U.S. $280mn Solar Energy Project in Brazil</w:t>
      </w:r>
    </w:p>
    <w:p w14:paraId="5F434D19" w14:textId="0C6270EC" w:rsidR="00E63A99" w:rsidRDefault="00E63A99" w:rsidP="00E63A99">
      <w:pPr>
        <w:spacing w:after="0" w:line="240" w:lineRule="auto"/>
        <w:rPr>
          <w:b/>
          <w:bCs/>
          <w:sz w:val="28"/>
          <w:szCs w:val="28"/>
        </w:rPr>
      </w:pPr>
      <w:r>
        <w:rPr>
          <w:b/>
          <w:bCs/>
          <w:sz w:val="28"/>
          <w:szCs w:val="28"/>
        </w:rPr>
        <w:t xml:space="preserve">(U) </w:t>
      </w:r>
      <w:r w:rsidR="00C61189" w:rsidRPr="00C61189">
        <w:rPr>
          <w:b/>
          <w:bCs/>
          <w:sz w:val="28"/>
          <w:szCs w:val="28"/>
        </w:rPr>
        <w:t>Mexico to Seek Diplomatic Solution After US Threatens Cuba Oil Tariffs</w:t>
      </w:r>
    </w:p>
    <w:p w14:paraId="47F1CD53" w14:textId="01577B6B" w:rsidR="00C61189" w:rsidRDefault="00C61189" w:rsidP="00E63A99">
      <w:pPr>
        <w:spacing w:after="0" w:line="240" w:lineRule="auto"/>
        <w:rPr>
          <w:b/>
          <w:bCs/>
          <w:sz w:val="28"/>
          <w:szCs w:val="28"/>
        </w:rPr>
      </w:pPr>
      <w:r>
        <w:rPr>
          <w:b/>
          <w:bCs/>
          <w:sz w:val="28"/>
          <w:szCs w:val="28"/>
        </w:rPr>
        <w:t xml:space="preserve">(U) </w:t>
      </w:r>
      <w:r w:rsidR="008908F9" w:rsidRPr="008908F9">
        <w:rPr>
          <w:b/>
          <w:bCs/>
          <w:sz w:val="28"/>
          <w:szCs w:val="28"/>
        </w:rPr>
        <w:t>Venezuela’s National Assembly to Discuss Sweetened Oil Reform</w:t>
      </w:r>
    </w:p>
    <w:p w14:paraId="12AC8132" w14:textId="2BCB3332" w:rsidR="00681ECC" w:rsidRPr="00B63D85" w:rsidRDefault="008908F9" w:rsidP="00B63D85">
      <w:pPr>
        <w:spacing w:after="0" w:line="240" w:lineRule="auto"/>
        <w:rPr>
          <w:b/>
          <w:bCs/>
          <w:sz w:val="28"/>
          <w:szCs w:val="28"/>
        </w:rPr>
        <w:sectPr w:rsidR="00681ECC" w:rsidRPr="00B63D85" w:rsidSect="00F73799">
          <w:headerReference w:type="default" r:id="rId11"/>
          <w:footerReference w:type="default" r:id="rId12"/>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pPr>
      <w:r>
        <w:rPr>
          <w:b/>
          <w:bCs/>
          <w:sz w:val="28"/>
          <w:szCs w:val="28"/>
        </w:rPr>
        <w:t xml:space="preserve">(U) </w:t>
      </w:r>
      <w:r w:rsidR="003D6FB9" w:rsidRPr="003D6FB9">
        <w:rPr>
          <w:b/>
          <w:bCs/>
          <w:sz w:val="28"/>
          <w:szCs w:val="28"/>
        </w:rPr>
        <w:t>Trump Says India will Buy Oil from Venezuela</w:t>
      </w:r>
    </w:p>
    <w:p w14:paraId="7EE50B57" w14:textId="77777777" w:rsidR="00251B36" w:rsidRPr="00F3714A" w:rsidRDefault="00251B36" w:rsidP="00823888">
      <w:pPr>
        <w:pStyle w:val="Heading3"/>
        <w:spacing w:before="0" w:after="80"/>
        <w:ind w:left="-547" w:firstLine="547"/>
        <w:rPr>
          <w:rFonts w:cstheme="majorHAnsi"/>
          <w:b/>
          <w:bCs/>
          <w:sz w:val="28"/>
          <w:szCs w:val="28"/>
        </w:rPr>
      </w:pPr>
      <w:bookmarkStart w:id="0" w:name="_NORTH_DAKOTA_AND"/>
      <w:bookmarkEnd w:id="0"/>
      <w:r w:rsidRPr="00F3714A">
        <w:rPr>
          <w:rFonts w:cstheme="majorHAnsi"/>
          <w:b/>
          <w:bCs/>
          <w:sz w:val="28"/>
          <w:szCs w:val="28"/>
        </w:rPr>
        <w:lastRenderedPageBreak/>
        <w:t>NORTH DAKOTA AND REGIONAL</w:t>
      </w:r>
    </w:p>
    <w:p w14:paraId="2B3A29BC" w14:textId="0556B86A" w:rsidR="0023601E" w:rsidRDefault="00027A2B" w:rsidP="00F31CEE">
      <w:pPr>
        <w:spacing w:after="80" w:line="240" w:lineRule="auto"/>
        <w:rPr>
          <w:b/>
          <w:bCs/>
          <w:sz w:val="24"/>
          <w:szCs w:val="24"/>
        </w:rPr>
      </w:pPr>
      <w:r w:rsidRPr="00F31CEE">
        <w:rPr>
          <w:b/>
          <w:bCs/>
          <w:sz w:val="24"/>
          <w:szCs w:val="24"/>
        </w:rPr>
        <w:t xml:space="preserve">(U) </w:t>
      </w:r>
      <w:r w:rsidR="00F31CEE" w:rsidRPr="00F31CEE">
        <w:rPr>
          <w:b/>
          <w:bCs/>
          <w:sz w:val="24"/>
          <w:szCs w:val="24"/>
        </w:rPr>
        <w:t>The Middle Three Forks (2nd Bench) in the Bakken Petroleum System</w:t>
      </w:r>
    </w:p>
    <w:p w14:paraId="69858584" w14:textId="77777777" w:rsidR="00D439D0" w:rsidRPr="00203924" w:rsidRDefault="00D439D0" w:rsidP="00D439D0">
      <w:pPr>
        <w:spacing w:after="0" w:line="240" w:lineRule="auto"/>
      </w:pPr>
      <w:r w:rsidRPr="00203924">
        <w:t xml:space="preserve">Nathan Anderson, Director of the North Dakota Department of Mineral Resources, and Ed Murphy, North Dakota State Geologist, announced the completion of a case study evaluating the middle Three Forks reservoir within the Bakken Petroleum System. The study results indicate that significant undeveloped oil resources remain in this reservoir across a portion of western North Dakota. Following the 2006 discovery of the Parshall Field in western North Dakota, oil and gas companies primarily targeted the Middle Bakken with horizontal wells. The upper Three Forks later developed into a second established exploration and development target during 2008-2010. Then, beginning in 2013, the middle Three Forks began to be targeted. To date, over 360 horizontal wells have been drilled and completed in the middle Three Forks which have produced over 92 million barrels of oil and 238 billion cubic feet of gas. These wells have amounted to ~2% of the drilling activity in the Bakken-Three Forks petroleum system, and ~1.7% of the total oil production to date. </w:t>
      </w:r>
    </w:p>
    <w:p w14:paraId="678AB3AA" w14:textId="19155D4F" w:rsidR="00F31CEE" w:rsidRPr="003935DE" w:rsidRDefault="00D439D0" w:rsidP="00F42DDE">
      <w:pPr>
        <w:spacing w:after="0" w:line="240" w:lineRule="auto"/>
        <w:rPr>
          <w:sz w:val="24"/>
          <w:szCs w:val="24"/>
        </w:rPr>
      </w:pPr>
      <w:r w:rsidRPr="00203924">
        <w:t>Source:</w:t>
      </w:r>
      <w:r w:rsidRPr="00203924">
        <w:rPr>
          <w:b/>
          <w:bCs/>
        </w:rPr>
        <w:t xml:space="preserve"> </w:t>
      </w:r>
      <w:hyperlink r:id="rId13" w:history="1">
        <w:r w:rsidRPr="003935DE">
          <w:rPr>
            <w:rStyle w:val="Hyperlink"/>
          </w:rPr>
          <w:t>https://www.dmr.nd.gov/dmr/news/middle-three-forks-2nd-bench-bakken-petroleum</w:t>
        </w:r>
      </w:hyperlink>
      <w:r w:rsidRPr="003935DE">
        <w:rPr>
          <w:sz w:val="24"/>
          <w:szCs w:val="24"/>
        </w:rPr>
        <w:t xml:space="preserve"> </w:t>
      </w:r>
    </w:p>
    <w:p w14:paraId="1A89CBA6" w14:textId="77777777" w:rsidR="001E6950" w:rsidRPr="003935DE" w:rsidRDefault="001E6950" w:rsidP="00F42DDE">
      <w:pPr>
        <w:spacing w:after="0" w:line="240" w:lineRule="auto"/>
        <w:rPr>
          <w:sz w:val="24"/>
          <w:szCs w:val="24"/>
        </w:rPr>
      </w:pPr>
    </w:p>
    <w:p w14:paraId="1D709B42" w14:textId="77777777" w:rsidR="00F42DDE" w:rsidRDefault="00F42DDE" w:rsidP="00F42DDE">
      <w:pPr>
        <w:spacing w:after="0" w:line="240" w:lineRule="auto"/>
        <w:rPr>
          <w:b/>
          <w:bCs/>
          <w:sz w:val="24"/>
          <w:szCs w:val="24"/>
        </w:rPr>
      </w:pPr>
    </w:p>
    <w:p w14:paraId="3458E200" w14:textId="1DEA4E3A" w:rsidR="00F42DDE" w:rsidRDefault="00F3714A" w:rsidP="00333277">
      <w:pPr>
        <w:spacing w:after="80" w:line="240" w:lineRule="auto"/>
        <w:rPr>
          <w:b/>
          <w:bCs/>
          <w:sz w:val="24"/>
          <w:szCs w:val="24"/>
        </w:rPr>
      </w:pPr>
      <w:r>
        <w:rPr>
          <w:b/>
          <w:bCs/>
          <w:sz w:val="24"/>
          <w:szCs w:val="24"/>
        </w:rPr>
        <w:t xml:space="preserve">(U) </w:t>
      </w:r>
      <w:r w:rsidR="00333277" w:rsidRPr="00333277">
        <w:rPr>
          <w:b/>
          <w:bCs/>
          <w:sz w:val="24"/>
          <w:szCs w:val="24"/>
        </w:rPr>
        <w:t>MDU Explains Power Conservation Request</w:t>
      </w:r>
    </w:p>
    <w:p w14:paraId="7949173B" w14:textId="77777777" w:rsidR="00203924" w:rsidRPr="00203924" w:rsidRDefault="00203924" w:rsidP="00203924">
      <w:pPr>
        <w:spacing w:after="0" w:line="240" w:lineRule="auto"/>
      </w:pPr>
      <w:r w:rsidRPr="00203924">
        <w:t>Most of North Dakota’s utilities are connected to MISO, the electric grid operator across 15 states and Manitoba. Severe winter weather in several of those states resulted in utilities taking action to stabilize the grid. From the south to the northeast, freezing temperatures and ice storms caused challenges for those under various winter weather warnings. On Jan. 24, unseasonably cold temperatures across the Midcontinent Independent System Operator, or MISO, resulted in higher electric customer loads than expected. That resulted in several “Energy Emergency Alert” notifications, including EEA2, where MISO claims it’s facing an energy shortage. Under EEA2, MISO can tell utilities to encourage their customers to conserve power.</w:t>
      </w:r>
    </w:p>
    <w:p w14:paraId="7E3FF82B" w14:textId="42FB679F" w:rsidR="00333277" w:rsidRPr="003935DE" w:rsidRDefault="00203924" w:rsidP="00203924">
      <w:pPr>
        <w:spacing w:after="0" w:line="240" w:lineRule="auto"/>
        <w:rPr>
          <w:sz w:val="24"/>
          <w:szCs w:val="24"/>
        </w:rPr>
      </w:pPr>
      <w:r w:rsidRPr="00203924">
        <w:t>Source</w:t>
      </w:r>
      <w:r w:rsidRPr="003935DE">
        <w:rPr>
          <w:b/>
          <w:bCs/>
        </w:rPr>
        <w:t>:</w:t>
      </w:r>
      <w:r w:rsidRPr="003935DE">
        <w:rPr>
          <w:b/>
          <w:bCs/>
          <w:sz w:val="24"/>
          <w:szCs w:val="24"/>
        </w:rPr>
        <w:t xml:space="preserve"> </w:t>
      </w:r>
      <w:hyperlink r:id="rId14" w:history="1">
        <w:r w:rsidRPr="003935DE">
          <w:rPr>
            <w:rStyle w:val="Hyperlink"/>
            <w:sz w:val="24"/>
            <w:szCs w:val="24"/>
          </w:rPr>
          <w:t>https://www.kfyrtv.com/2026/01/28/mdu-explains-power-conservation-request</w:t>
        </w:r>
      </w:hyperlink>
      <w:r w:rsidRPr="003935DE">
        <w:rPr>
          <w:sz w:val="24"/>
          <w:szCs w:val="24"/>
        </w:rPr>
        <w:t xml:space="preserve"> </w:t>
      </w:r>
    </w:p>
    <w:p w14:paraId="24E0BDC6" w14:textId="77777777" w:rsidR="00203924" w:rsidRPr="003935DE" w:rsidRDefault="00203924" w:rsidP="00203924">
      <w:pPr>
        <w:spacing w:after="0" w:line="240" w:lineRule="auto"/>
        <w:rPr>
          <w:sz w:val="24"/>
          <w:szCs w:val="24"/>
        </w:rPr>
      </w:pPr>
    </w:p>
    <w:p w14:paraId="275BC6A9" w14:textId="77777777" w:rsidR="00203924" w:rsidRDefault="00203924" w:rsidP="00203924">
      <w:pPr>
        <w:spacing w:after="0" w:line="240" w:lineRule="auto"/>
        <w:rPr>
          <w:b/>
          <w:bCs/>
          <w:sz w:val="24"/>
          <w:szCs w:val="24"/>
        </w:rPr>
      </w:pPr>
    </w:p>
    <w:p w14:paraId="030CF36C" w14:textId="7F63F785" w:rsidR="00203924" w:rsidRDefault="00F3714A" w:rsidP="00D1319B">
      <w:pPr>
        <w:spacing w:after="80" w:line="240" w:lineRule="auto"/>
        <w:rPr>
          <w:b/>
          <w:bCs/>
          <w:sz w:val="24"/>
          <w:szCs w:val="24"/>
        </w:rPr>
      </w:pPr>
      <w:r>
        <w:rPr>
          <w:b/>
          <w:bCs/>
          <w:sz w:val="24"/>
          <w:szCs w:val="24"/>
        </w:rPr>
        <w:t xml:space="preserve">(U) </w:t>
      </w:r>
      <w:r w:rsidR="00D1319B" w:rsidRPr="00D1319B">
        <w:rPr>
          <w:b/>
          <w:bCs/>
          <w:sz w:val="24"/>
          <w:szCs w:val="24"/>
        </w:rPr>
        <w:t>Continental Resources to Stop Drilling in North Dakota for now</w:t>
      </w:r>
    </w:p>
    <w:p w14:paraId="1F8AAA98" w14:textId="77777777" w:rsidR="00045ACE" w:rsidRPr="00045ACE" w:rsidRDefault="00045ACE" w:rsidP="00045ACE">
      <w:pPr>
        <w:spacing w:after="0" w:line="240" w:lineRule="auto"/>
        <w:rPr>
          <w:sz w:val="24"/>
          <w:szCs w:val="24"/>
        </w:rPr>
      </w:pPr>
      <w:r w:rsidRPr="00045ACE">
        <w:rPr>
          <w:sz w:val="24"/>
          <w:szCs w:val="24"/>
        </w:rPr>
        <w:t xml:space="preserve">A leading North Dakota oil producer is pausing new drilling amid low oil prices, but state regulators emphasized Tuesday the company is not exiting the Bakken. Continental Resources Founder Harold Hamm said in a recent interview it will be the first time in 30 </w:t>
      </w:r>
      <w:proofErr w:type="gramStart"/>
      <w:r w:rsidRPr="00045ACE">
        <w:rPr>
          <w:sz w:val="24"/>
          <w:szCs w:val="24"/>
        </w:rPr>
        <w:t>years</w:t>
      </w:r>
      <w:proofErr w:type="gramEnd"/>
      <w:r w:rsidRPr="00045ACE">
        <w:rPr>
          <w:sz w:val="24"/>
          <w:szCs w:val="24"/>
        </w:rPr>
        <w:t xml:space="preserve"> the company will not operate a drilling rig in the state. But the company, the No. 2 oil producer in North Dakota, will continue to operate existing wells and likely reevaluate the economics of drilling in a few months. “Continental is not pulling up stakes and leaving the state,” Gov. Kelly Armstrong said during Tuesday’s meeting of the North Dakota Industrial Commission. Continental Resources had been operating three drilling rigs in North Dakota, but one has ceased operations, said Nathan Anderson, director of the Department of Mineral Resources. The two other rigs are expected to go offline by early March, Anderson said. Hamm told Bloomberg News that oil and gas companies are reassessing their drilling activity in all oil fields, not just North Dakota’s Bakken, due to thin profit margins.</w:t>
      </w:r>
    </w:p>
    <w:p w14:paraId="120CE6DF" w14:textId="4F55BA18" w:rsidR="00D1319B" w:rsidRDefault="00045ACE" w:rsidP="00045ACE">
      <w:pPr>
        <w:spacing w:after="0" w:line="240" w:lineRule="auto"/>
        <w:rPr>
          <w:b/>
          <w:bCs/>
          <w:sz w:val="24"/>
          <w:szCs w:val="24"/>
        </w:rPr>
      </w:pPr>
      <w:r w:rsidRPr="00045ACE">
        <w:rPr>
          <w:sz w:val="24"/>
          <w:szCs w:val="24"/>
        </w:rPr>
        <w:t xml:space="preserve">Source: </w:t>
      </w:r>
      <w:hyperlink r:id="rId15" w:history="1">
        <w:r w:rsidRPr="00045ACE">
          <w:rPr>
            <w:rStyle w:val="Hyperlink"/>
            <w:sz w:val="24"/>
            <w:szCs w:val="24"/>
          </w:rPr>
          <w:t>https://northdakotamonitor.com/2026/01/20/continental-resources-to-stop-drilling</w:t>
        </w:r>
      </w:hyperlink>
      <w:r>
        <w:rPr>
          <w:b/>
          <w:bCs/>
          <w:sz w:val="24"/>
          <w:szCs w:val="24"/>
        </w:rPr>
        <w:t xml:space="preserve"> </w:t>
      </w:r>
    </w:p>
    <w:p w14:paraId="7CD090C7" w14:textId="77777777" w:rsidR="00045ACE" w:rsidRDefault="00045ACE" w:rsidP="00045ACE">
      <w:pPr>
        <w:spacing w:after="0" w:line="240" w:lineRule="auto"/>
        <w:rPr>
          <w:b/>
          <w:bCs/>
          <w:sz w:val="24"/>
          <w:szCs w:val="24"/>
        </w:rPr>
      </w:pPr>
    </w:p>
    <w:p w14:paraId="3E081E07" w14:textId="77777777" w:rsidR="00045ACE" w:rsidRDefault="00045ACE" w:rsidP="00045ACE">
      <w:pPr>
        <w:spacing w:after="0" w:line="240" w:lineRule="auto"/>
        <w:rPr>
          <w:b/>
          <w:bCs/>
          <w:sz w:val="24"/>
          <w:szCs w:val="24"/>
        </w:rPr>
      </w:pPr>
    </w:p>
    <w:p w14:paraId="10CC6011" w14:textId="61CD0C11" w:rsidR="00045ACE" w:rsidRDefault="00F3714A" w:rsidP="00C42C9C">
      <w:pPr>
        <w:spacing w:after="80" w:line="240" w:lineRule="auto"/>
        <w:rPr>
          <w:b/>
          <w:bCs/>
          <w:sz w:val="24"/>
          <w:szCs w:val="24"/>
        </w:rPr>
      </w:pPr>
      <w:r>
        <w:rPr>
          <w:b/>
          <w:bCs/>
          <w:sz w:val="24"/>
          <w:szCs w:val="24"/>
        </w:rPr>
        <w:t xml:space="preserve">(U) </w:t>
      </w:r>
      <w:r w:rsidR="00C42C9C" w:rsidRPr="00C42C9C">
        <w:rPr>
          <w:b/>
          <w:bCs/>
          <w:sz w:val="24"/>
          <w:szCs w:val="24"/>
        </w:rPr>
        <w:t>Armstrong To Energy Secretary Wright: North Dakota Can Play an Outsized Role in U.S. Energy</w:t>
      </w:r>
    </w:p>
    <w:p w14:paraId="2D0CBCC8" w14:textId="77777777" w:rsidR="00B17A94" w:rsidRPr="00B17A94" w:rsidRDefault="00B17A94" w:rsidP="00B17A94">
      <w:pPr>
        <w:spacing w:after="0" w:line="240" w:lineRule="auto"/>
      </w:pPr>
      <w:r w:rsidRPr="00B17A94">
        <w:t xml:space="preserve">Gov. Kelly Armstrong today welcomed U.S. Secretary of Energy Chris Wright to North Dakota, highlighting the state’s key contributions to American energy security and shared goal with the Trump administration of U.S. energy dominance. “As a Top 10 energy-producing state and the nation’s No. 3 oil producer, North Dakota stands ready to partner with the Trump administration and private sector to achieve U.S. energy dominance and provide reliable, affordable energy for all Americans,” Armstrong said. Armstrong discussed the state’s energy sector during a roundtable with Wright hosted by U.S. Sen. John Hoeven at the University of North Dakota’s Energy &amp; Environmental Research Center. Participants included U.S. Rep. Julie Fedorchak, state Agriculture Commissioner Doug Goehring, </w:t>
      </w:r>
    </w:p>
    <w:p w14:paraId="135ECA09" w14:textId="59E6C858" w:rsidR="00D57EBD" w:rsidRPr="00B17A94" w:rsidRDefault="00B17A94" w:rsidP="00B17A94">
      <w:pPr>
        <w:spacing w:after="80" w:line="240" w:lineRule="auto"/>
      </w:pPr>
      <w:r w:rsidRPr="00B17A94">
        <w:t xml:space="preserve">Source: </w:t>
      </w:r>
      <w:hyperlink r:id="rId16" w:history="1">
        <w:r w:rsidRPr="00B17A94">
          <w:rPr>
            <w:rStyle w:val="Hyperlink"/>
          </w:rPr>
          <w:t>https://www.governor.nd.gov/news/armstrong-energy-secretary-wright-north-dakota</w:t>
        </w:r>
      </w:hyperlink>
    </w:p>
    <w:p w14:paraId="3C5B394A" w14:textId="77777777" w:rsidR="00251B36" w:rsidRDefault="00251B36" w:rsidP="00F3714A">
      <w:pPr>
        <w:pStyle w:val="Heading3"/>
        <w:rPr>
          <w:b/>
          <w:bCs/>
          <w:sz w:val="28"/>
          <w:szCs w:val="28"/>
        </w:rPr>
      </w:pPr>
      <w:bookmarkStart w:id="1" w:name="_NATIONAL"/>
      <w:bookmarkEnd w:id="1"/>
      <w:r w:rsidRPr="0023601E">
        <w:rPr>
          <w:b/>
          <w:bCs/>
          <w:sz w:val="28"/>
          <w:szCs w:val="28"/>
        </w:rPr>
        <w:lastRenderedPageBreak/>
        <w:t>NATIONAL</w:t>
      </w:r>
    </w:p>
    <w:p w14:paraId="138AC9B5" w14:textId="77777777" w:rsidR="00B63B6F" w:rsidRDefault="00027A2B" w:rsidP="00B63B6F">
      <w:pPr>
        <w:spacing w:after="80" w:line="240" w:lineRule="auto"/>
        <w:rPr>
          <w:b/>
          <w:bCs/>
          <w:sz w:val="24"/>
          <w:szCs w:val="24"/>
        </w:rPr>
      </w:pPr>
      <w:r w:rsidRPr="000F1990">
        <w:rPr>
          <w:b/>
          <w:bCs/>
          <w:sz w:val="24"/>
          <w:szCs w:val="24"/>
        </w:rPr>
        <w:t>(U)</w:t>
      </w:r>
      <w:r w:rsidR="000F1990" w:rsidRPr="000F1990">
        <w:rPr>
          <w:b/>
          <w:bCs/>
          <w:sz w:val="24"/>
          <w:szCs w:val="24"/>
        </w:rPr>
        <w:t xml:space="preserve"> Major Power Line Expansions Will Fuel Future Growth in S</w:t>
      </w:r>
      <w:r w:rsidR="003935DE">
        <w:rPr>
          <w:b/>
          <w:bCs/>
          <w:sz w:val="24"/>
          <w:szCs w:val="24"/>
        </w:rPr>
        <w:t xml:space="preserve">outh Dakota </w:t>
      </w:r>
    </w:p>
    <w:p w14:paraId="545B12F8" w14:textId="00A6A168" w:rsidR="00371F06" w:rsidRPr="00B63B6F" w:rsidRDefault="00371F06" w:rsidP="00B63B6F">
      <w:pPr>
        <w:spacing w:after="80" w:line="240" w:lineRule="auto"/>
        <w:rPr>
          <w:b/>
          <w:bCs/>
          <w:sz w:val="24"/>
          <w:szCs w:val="24"/>
        </w:rPr>
      </w:pPr>
      <w:r w:rsidRPr="00371F06">
        <w:t xml:space="preserve">Big Stone City in northeastern South Dakota already serves as a major hub for energy. It's home to a coal-fired power plant, a Poet Biofuels ethanol plant and a major electrical substation that is critical to the region’s power grid. A planned multi-state, multibillion-dollar expansion of the region’s transmission system would make Big Stone City an even bigger </w:t>
      </w:r>
      <w:proofErr w:type="gramStart"/>
      <w:r w:rsidRPr="00371F06">
        <w:t>spoke</w:t>
      </w:r>
      <w:proofErr w:type="gramEnd"/>
      <w:r w:rsidRPr="00371F06">
        <w:t xml:space="preserve"> for the Upper Midwest’s energy economy. If a proposed 765-kilovolt transmission line through town is built in the next few years as planned, it would easily become the highest-capacity power line in the state. It would also set the stage for new natural gas, wind and solar electricity generation in South Dakota. That means new jobs and greater need for trained workers, and not just in the state’s growing renewable energy economy. More capacity to move electricity through the state will also create opportunities for a wide range of new industrial, commercial and residential growth in the coming decades.</w:t>
      </w:r>
    </w:p>
    <w:p w14:paraId="334F2555" w14:textId="14522F4F" w:rsidR="000F1990" w:rsidRDefault="00371F06" w:rsidP="00884A8C">
      <w:pPr>
        <w:spacing w:after="0" w:line="240" w:lineRule="auto"/>
      </w:pPr>
      <w:r w:rsidRPr="00371F06">
        <w:t xml:space="preserve">Source: </w:t>
      </w:r>
      <w:hyperlink r:id="rId17" w:history="1">
        <w:r w:rsidRPr="00371F06">
          <w:rPr>
            <w:rStyle w:val="Hyperlink"/>
          </w:rPr>
          <w:t>https://www.sdnewswatch.org/electric-power-transmission-crypto-data-mining-sd/</w:t>
        </w:r>
      </w:hyperlink>
      <w:r w:rsidRPr="00371F06">
        <w:t xml:space="preserve"> </w:t>
      </w:r>
    </w:p>
    <w:p w14:paraId="2801B944" w14:textId="77777777" w:rsidR="00884A8C" w:rsidRDefault="00884A8C" w:rsidP="00884A8C">
      <w:pPr>
        <w:spacing w:after="0" w:line="240" w:lineRule="auto"/>
      </w:pPr>
    </w:p>
    <w:p w14:paraId="120E5EA4" w14:textId="77777777" w:rsidR="00884A8C" w:rsidRDefault="00884A8C" w:rsidP="00884A8C">
      <w:pPr>
        <w:spacing w:after="0" w:line="240" w:lineRule="auto"/>
      </w:pPr>
    </w:p>
    <w:p w14:paraId="69C90FA7" w14:textId="07A6CC83" w:rsidR="00884A8C" w:rsidRDefault="00AB0CF2" w:rsidP="00AB0CF2">
      <w:pPr>
        <w:spacing w:after="80" w:line="240" w:lineRule="auto"/>
        <w:rPr>
          <w:b/>
          <w:bCs/>
          <w:sz w:val="24"/>
          <w:szCs w:val="24"/>
        </w:rPr>
      </w:pPr>
      <w:r w:rsidRPr="00AB0CF2">
        <w:rPr>
          <w:b/>
          <w:bCs/>
          <w:sz w:val="24"/>
          <w:szCs w:val="24"/>
        </w:rPr>
        <w:t>(U) Underwater Cameras Could Help Unlock America’s Tidal Energy Industry</w:t>
      </w:r>
    </w:p>
    <w:p w14:paraId="3E23A69C" w14:textId="77777777" w:rsidR="001456A9" w:rsidRPr="001456A9" w:rsidRDefault="001456A9" w:rsidP="001456A9">
      <w:pPr>
        <w:spacing w:after="0" w:line="240" w:lineRule="auto"/>
      </w:pPr>
      <w:r w:rsidRPr="001456A9">
        <w:t>At the narrow entrance to Sequim Bay’s tidal channel, an underwater, four-bladed turbine spinning above the seabed might look like a hazard. But here, in Washington state, underwater acoustic cameras bring to life a different story: Schools of Pacific herring swim through the rotors; harbor seals stop and curiously approach; diving cormorants instinctively steer clear. An analysis of 1,044 unique interactions between marine life and this small-scale tidal turbine found zero collisions for seals or seabirds, and a 98 percent safety rate for fish, according to a study by the Pacific Northwest National Laboratory, whose facility overlooks the high-flow test site. While the U.S. Department of Energy estimates tidal energy could power 21 million homes, the industry has been paralyzed by a lack of safety data. The report, released Wednesday, provides first-of-its-kind data for North America and could help unlock the regulatory stalemate holding back tidal energy.</w:t>
      </w:r>
    </w:p>
    <w:p w14:paraId="1AA7FD24" w14:textId="148F6087" w:rsidR="00AB0CF2" w:rsidRDefault="001456A9" w:rsidP="001456A9">
      <w:pPr>
        <w:spacing w:after="0" w:line="240" w:lineRule="auto"/>
      </w:pPr>
      <w:r w:rsidRPr="001456A9">
        <w:t xml:space="preserve">Source: </w:t>
      </w:r>
      <w:hyperlink r:id="rId18" w:history="1">
        <w:r w:rsidRPr="001456A9">
          <w:rPr>
            <w:rStyle w:val="Hyperlink"/>
          </w:rPr>
          <w:t>https://insideclimatenews.org/news/14012026/tidal-turbine-study-tracks-impact</w:t>
        </w:r>
      </w:hyperlink>
      <w:r w:rsidRPr="001456A9">
        <w:t xml:space="preserve"> </w:t>
      </w:r>
    </w:p>
    <w:p w14:paraId="75673775" w14:textId="77777777" w:rsidR="001456A9" w:rsidRDefault="001456A9" w:rsidP="001456A9">
      <w:pPr>
        <w:spacing w:after="0" w:line="240" w:lineRule="auto"/>
      </w:pPr>
    </w:p>
    <w:p w14:paraId="64FB2C31" w14:textId="77777777" w:rsidR="001456A9" w:rsidRDefault="001456A9" w:rsidP="001456A9">
      <w:pPr>
        <w:spacing w:after="0" w:line="240" w:lineRule="auto"/>
      </w:pPr>
    </w:p>
    <w:p w14:paraId="02272811" w14:textId="1F42D4C5" w:rsidR="001456A9" w:rsidRDefault="007515C3" w:rsidP="007515C3">
      <w:pPr>
        <w:spacing w:after="80" w:line="240" w:lineRule="auto"/>
        <w:rPr>
          <w:b/>
          <w:bCs/>
          <w:sz w:val="24"/>
          <w:szCs w:val="24"/>
        </w:rPr>
      </w:pPr>
      <w:r w:rsidRPr="007515C3">
        <w:rPr>
          <w:b/>
          <w:bCs/>
          <w:sz w:val="24"/>
          <w:szCs w:val="24"/>
        </w:rPr>
        <w:t xml:space="preserve">(U) Devon Energy and </w:t>
      </w:r>
      <w:proofErr w:type="spellStart"/>
      <w:r w:rsidRPr="007515C3">
        <w:rPr>
          <w:b/>
          <w:bCs/>
          <w:sz w:val="24"/>
          <w:szCs w:val="24"/>
        </w:rPr>
        <w:t>Coterra</w:t>
      </w:r>
      <w:proofErr w:type="spellEnd"/>
      <w:r w:rsidRPr="007515C3">
        <w:rPr>
          <w:b/>
          <w:bCs/>
          <w:sz w:val="24"/>
          <w:szCs w:val="24"/>
        </w:rPr>
        <w:t xml:space="preserve"> Energy to Combine, Creating a Premier Shale Operator</w:t>
      </w:r>
    </w:p>
    <w:p w14:paraId="054F9C82" w14:textId="77777777" w:rsidR="00DA524F" w:rsidRPr="00DA524F" w:rsidRDefault="00DA524F" w:rsidP="00DA524F">
      <w:pPr>
        <w:spacing w:after="0" w:line="240" w:lineRule="auto"/>
      </w:pPr>
      <w:r w:rsidRPr="00DA524F">
        <w:t>Devon Energy announced the signing of a definitive agreement to merge in an all-stock transaction. The combination will create a leading large-cap shale operator with a high-quality asset base anchored by a premier position in the economic core of the Delaware Basin. The combined company will be named Devon Energy and will be headquartered in Houston while maintaining a significant presence in Oklahoma City. The formation of this premier company is expected to unlock substantial value by leveraging each company’s core strengths and through the realization of $1 billion in annual pre-tax synergies. The realization of synergies, technology-driven capital efficiency gains and optimized capital allocation will drive near and long-term per share growth.</w:t>
      </w:r>
    </w:p>
    <w:p w14:paraId="3C2FD99B" w14:textId="77777777" w:rsidR="00A54B9A" w:rsidRDefault="00DA524F" w:rsidP="00DA524F">
      <w:pPr>
        <w:spacing w:after="0" w:line="240" w:lineRule="auto"/>
      </w:pPr>
      <w:r w:rsidRPr="00DA524F">
        <w:t xml:space="preserve">Source: </w:t>
      </w:r>
      <w:hyperlink r:id="rId19" w:history="1">
        <w:r w:rsidRPr="00DA524F">
          <w:rPr>
            <w:rStyle w:val="Hyperlink"/>
          </w:rPr>
          <w:t>https://energynow.com/2026/02/devon-energy-and-coterra-energy-to-combine-creating</w:t>
        </w:r>
      </w:hyperlink>
    </w:p>
    <w:p w14:paraId="4B400741" w14:textId="77777777" w:rsidR="00A54B9A" w:rsidRDefault="00A54B9A" w:rsidP="00DA524F">
      <w:pPr>
        <w:spacing w:after="0" w:line="240" w:lineRule="auto"/>
      </w:pPr>
    </w:p>
    <w:p w14:paraId="635DE915" w14:textId="77777777" w:rsidR="00A54B9A" w:rsidRDefault="00A54B9A" w:rsidP="00DA524F">
      <w:pPr>
        <w:spacing w:after="0" w:line="240" w:lineRule="auto"/>
      </w:pPr>
    </w:p>
    <w:p w14:paraId="36FD79C2" w14:textId="661AA57B" w:rsidR="007515C3" w:rsidRDefault="00DA524F" w:rsidP="00DA7902">
      <w:pPr>
        <w:spacing w:after="80" w:line="240" w:lineRule="auto"/>
        <w:rPr>
          <w:b/>
          <w:bCs/>
          <w:sz w:val="24"/>
          <w:szCs w:val="24"/>
        </w:rPr>
      </w:pPr>
      <w:r>
        <w:rPr>
          <w:b/>
          <w:bCs/>
          <w:sz w:val="24"/>
          <w:szCs w:val="24"/>
        </w:rPr>
        <w:t xml:space="preserve"> </w:t>
      </w:r>
      <w:r w:rsidR="00DA7902">
        <w:rPr>
          <w:b/>
          <w:bCs/>
          <w:sz w:val="24"/>
          <w:szCs w:val="24"/>
        </w:rPr>
        <w:t xml:space="preserve">(U) </w:t>
      </w:r>
      <w:r w:rsidR="00DA7902" w:rsidRPr="00DA7902">
        <w:rPr>
          <w:b/>
          <w:bCs/>
          <w:sz w:val="24"/>
          <w:szCs w:val="24"/>
        </w:rPr>
        <w:t>US Drillers Add Oil and Gas Rigs for Second Week in a Row, Baker Hughes Says</w:t>
      </w:r>
    </w:p>
    <w:p w14:paraId="18AD9819" w14:textId="77777777" w:rsidR="003C1AE9" w:rsidRPr="003C1AE9" w:rsidRDefault="003C1AE9" w:rsidP="003C1AE9">
      <w:pPr>
        <w:spacing w:after="0" w:line="240" w:lineRule="auto"/>
      </w:pPr>
      <w:r w:rsidRPr="003C1AE9">
        <w:t xml:space="preserve">U.S. energy firms this week added oil and natural gas rigs for a second week in a row for the first time since December, energy services firm Baker Hughes said in its closely followed report on Friday. The oil and gas rig count, an early indicator of future output, rose by two to 546 in the week </w:t>
      </w:r>
      <w:proofErr w:type="gramStart"/>
      <w:r w:rsidRPr="003C1AE9">
        <w:t>to</w:t>
      </w:r>
      <w:proofErr w:type="gramEnd"/>
      <w:r w:rsidRPr="003C1AE9">
        <w:t xml:space="preserve"> January 30, </w:t>
      </w:r>
      <w:proofErr w:type="gramStart"/>
      <w:r w:rsidRPr="003C1AE9">
        <w:t>its</w:t>
      </w:r>
      <w:proofErr w:type="gramEnd"/>
      <w:r w:rsidRPr="003C1AE9">
        <w:t xml:space="preserve"> highest since December. Despite this week’s rig increase, Baker Hughes said the total count was still down 36 rigs, or 6% below this time last year. Baker Hughes said oil rigs held steady at 411 this week, while gas rigs rose by three to 125, their highest since December, and miscellaneous rigs fell by one to 10. The oil and gas rig count declined by about 7% in 2025, 5% in 2024, and 20% in 2023 as lower U.S. oil prices prompted energy firms to focus more on boosting shareholder returns and paying down debt rather than increasing output. In the Gulf of Mexico, Baker Hughes said the rig count fell by one this week to seven, the lowest since September 2021.</w:t>
      </w:r>
    </w:p>
    <w:p w14:paraId="6F8D7F24" w14:textId="5E06D815" w:rsidR="00251B36" w:rsidRPr="003C1AE9" w:rsidRDefault="003C1AE9" w:rsidP="003C1AE9">
      <w:pPr>
        <w:spacing w:after="80" w:line="240" w:lineRule="auto"/>
      </w:pPr>
      <w:r w:rsidRPr="003C1AE9">
        <w:t xml:space="preserve">Source: </w:t>
      </w:r>
      <w:hyperlink r:id="rId20" w:history="1">
        <w:r w:rsidRPr="003C1AE9">
          <w:rPr>
            <w:rStyle w:val="Hyperlink"/>
          </w:rPr>
          <w:t>https://energynow.com/2026/02/us-drillers-add-oil-and-gas-rigs-for-second-week</w:t>
        </w:r>
      </w:hyperlink>
      <w:r w:rsidRPr="003C1AE9">
        <w:t xml:space="preserve"> </w:t>
      </w:r>
    </w:p>
    <w:p w14:paraId="22537D91" w14:textId="77777777" w:rsidR="00251B36" w:rsidRDefault="00251B36" w:rsidP="003C1AE9">
      <w:pPr>
        <w:pStyle w:val="Heading3"/>
        <w:rPr>
          <w:b/>
          <w:bCs/>
          <w:sz w:val="28"/>
          <w:szCs w:val="28"/>
        </w:rPr>
      </w:pPr>
      <w:bookmarkStart w:id="2" w:name="_INTERNATIONAL"/>
      <w:bookmarkEnd w:id="2"/>
      <w:r w:rsidRPr="0023601E">
        <w:rPr>
          <w:b/>
          <w:bCs/>
          <w:sz w:val="28"/>
          <w:szCs w:val="28"/>
        </w:rPr>
        <w:lastRenderedPageBreak/>
        <w:t>INTERNATIONAL</w:t>
      </w:r>
    </w:p>
    <w:p w14:paraId="402D21FA" w14:textId="7E612956" w:rsidR="00027A2B" w:rsidRDefault="00027A2B" w:rsidP="005C6988">
      <w:pPr>
        <w:spacing w:after="80" w:line="240" w:lineRule="auto"/>
        <w:rPr>
          <w:b/>
          <w:bCs/>
          <w:sz w:val="24"/>
          <w:szCs w:val="24"/>
        </w:rPr>
      </w:pPr>
      <w:r w:rsidRPr="005C6988">
        <w:rPr>
          <w:b/>
          <w:bCs/>
          <w:sz w:val="24"/>
          <w:szCs w:val="24"/>
        </w:rPr>
        <w:t>(U)</w:t>
      </w:r>
      <w:r w:rsidR="005C6988" w:rsidRPr="005C6988">
        <w:rPr>
          <w:b/>
          <w:bCs/>
          <w:sz w:val="24"/>
          <w:szCs w:val="24"/>
        </w:rPr>
        <w:t xml:space="preserve"> </w:t>
      </w:r>
      <w:proofErr w:type="spellStart"/>
      <w:r w:rsidR="005C6988" w:rsidRPr="005C6988">
        <w:rPr>
          <w:b/>
          <w:bCs/>
          <w:sz w:val="24"/>
          <w:szCs w:val="24"/>
        </w:rPr>
        <w:t>Atiaia</w:t>
      </w:r>
      <w:proofErr w:type="spellEnd"/>
      <w:r w:rsidR="005C6988" w:rsidRPr="005C6988">
        <w:rPr>
          <w:b/>
          <w:bCs/>
          <w:sz w:val="24"/>
          <w:szCs w:val="24"/>
        </w:rPr>
        <w:t xml:space="preserve"> Cancels U.S. $280mn Solar Energy Project in Brazil</w:t>
      </w:r>
    </w:p>
    <w:p w14:paraId="79A93B31" w14:textId="77777777" w:rsidR="000B0053" w:rsidRPr="000B0053" w:rsidRDefault="000B0053" w:rsidP="000B0053">
      <w:pPr>
        <w:spacing w:after="0" w:line="240" w:lineRule="auto"/>
      </w:pPr>
      <w:r w:rsidRPr="000B0053">
        <w:t xml:space="preserve">Brazil's </w:t>
      </w:r>
      <w:proofErr w:type="spellStart"/>
      <w:r w:rsidRPr="000B0053">
        <w:t>Atiaia</w:t>
      </w:r>
      <w:proofErr w:type="spellEnd"/>
      <w:r w:rsidRPr="000B0053">
        <w:t xml:space="preserve"> Energia requested that the local </w:t>
      </w:r>
      <w:proofErr w:type="spellStart"/>
      <w:r w:rsidRPr="000B0053">
        <w:t>poer</w:t>
      </w:r>
      <w:proofErr w:type="spellEnd"/>
      <w:r w:rsidRPr="000B0053">
        <w:t xml:space="preserve"> </w:t>
      </w:r>
      <w:proofErr w:type="spellStart"/>
      <w:r w:rsidRPr="000B0053">
        <w:t>wathdog</w:t>
      </w:r>
      <w:proofErr w:type="spellEnd"/>
      <w:r w:rsidRPr="000B0053">
        <w:t xml:space="preserve"> Aneel revoke the authorization grants for the Nova Sergipe 1 to 8 photovoltaic solar power plants (UFVs), which would be installed in the state of Sergipe. With an investment initially planned at 1.5 billion reais (US$280 million), the complex would produce 400MWh of energy, supplying around 1,800,000 people with renewable energy. According to the company, the projects were rendered unfeasible by the lack of evacuation margin for access to the transmission and distribution systems, by the significant increase in generation cuts (curtailment), and by the rise in implementation costs.</w:t>
      </w:r>
    </w:p>
    <w:p w14:paraId="20A5DC54" w14:textId="76826D0F" w:rsidR="005C6988" w:rsidRDefault="000B0053" w:rsidP="000B0053">
      <w:pPr>
        <w:spacing w:after="0" w:line="240" w:lineRule="auto"/>
        <w:rPr>
          <w:b/>
          <w:bCs/>
          <w:sz w:val="24"/>
          <w:szCs w:val="24"/>
        </w:rPr>
      </w:pPr>
      <w:r w:rsidRPr="000B0053">
        <w:t xml:space="preserve">Source: </w:t>
      </w:r>
      <w:hyperlink r:id="rId21" w:history="1">
        <w:r w:rsidRPr="000B0053">
          <w:rPr>
            <w:rStyle w:val="Hyperlink"/>
          </w:rPr>
          <w:t>https://www.bnamericas.com/en/news/atiaia-cancels-us280mn-solar-energy-project-in-brazil</w:t>
        </w:r>
      </w:hyperlink>
      <w:r>
        <w:rPr>
          <w:b/>
          <w:bCs/>
          <w:sz w:val="24"/>
          <w:szCs w:val="24"/>
        </w:rPr>
        <w:t xml:space="preserve"> </w:t>
      </w:r>
    </w:p>
    <w:p w14:paraId="4C41DF27" w14:textId="77777777" w:rsidR="000B0053" w:rsidRDefault="000B0053" w:rsidP="000B0053">
      <w:pPr>
        <w:spacing w:after="0" w:line="240" w:lineRule="auto"/>
        <w:rPr>
          <w:b/>
          <w:bCs/>
          <w:sz w:val="24"/>
          <w:szCs w:val="24"/>
        </w:rPr>
      </w:pPr>
    </w:p>
    <w:p w14:paraId="1B2B8D8E" w14:textId="77777777" w:rsidR="000B0053" w:rsidRDefault="000B0053" w:rsidP="000B0053">
      <w:pPr>
        <w:spacing w:after="0" w:line="240" w:lineRule="auto"/>
        <w:rPr>
          <w:b/>
          <w:bCs/>
          <w:sz w:val="24"/>
          <w:szCs w:val="24"/>
        </w:rPr>
      </w:pPr>
    </w:p>
    <w:p w14:paraId="31E5909F" w14:textId="05EE2FF7" w:rsidR="000B0053" w:rsidRDefault="00990123" w:rsidP="00990123">
      <w:pPr>
        <w:spacing w:after="80" w:line="240" w:lineRule="auto"/>
        <w:rPr>
          <w:b/>
          <w:bCs/>
          <w:sz w:val="24"/>
          <w:szCs w:val="24"/>
        </w:rPr>
      </w:pPr>
      <w:r>
        <w:rPr>
          <w:b/>
          <w:bCs/>
          <w:sz w:val="24"/>
          <w:szCs w:val="24"/>
        </w:rPr>
        <w:t xml:space="preserve">(U) </w:t>
      </w:r>
      <w:r w:rsidRPr="00990123">
        <w:rPr>
          <w:b/>
          <w:bCs/>
          <w:sz w:val="24"/>
          <w:szCs w:val="24"/>
        </w:rPr>
        <w:t>Mexico to Seek Diplomatic Solution After US Threatens Cuba Oil Tariffs</w:t>
      </w:r>
    </w:p>
    <w:p w14:paraId="11EC52E9" w14:textId="77777777" w:rsidR="000C478D" w:rsidRPr="000C478D" w:rsidRDefault="000C478D" w:rsidP="000C478D">
      <w:pPr>
        <w:spacing w:after="0" w:line="240" w:lineRule="auto"/>
      </w:pPr>
      <w:r w:rsidRPr="000C478D">
        <w:t xml:space="preserve">Mexico’s President Claudia Sheinbaum said on Friday her country would seek diplomatic solutions and alternatives to help Cuba after the United States threatened tariffs on nations that supply the Caribbean nation with oil. “We need to know the scope because we don’t want to put our country at risk in terms of tariffs,” Sheinbaum said in a morning press conference, adding that she had instructed her foreign minister to reach out to the U.S. State Department. Mexico is one of Cuba’s only remaining suppliers of oil and its shipments are a lifeline for the island. Sheinbaum said cutting off oil shipments could cause a serious humanitarian crisis in Cuba, affecting transportation and key infrastructure including hospitals and electricity generation. “Applying tariffs on countries that supply oil to Cuba could trigger a far-reaching humanitarian crisis, directly affecting hospitals, food and other basic services for the Cuban people, a situation that must be avoided,” she said. </w:t>
      </w:r>
    </w:p>
    <w:p w14:paraId="65ABD624" w14:textId="668EB187" w:rsidR="00990123" w:rsidRDefault="000C478D" w:rsidP="000C478D">
      <w:pPr>
        <w:spacing w:after="0" w:line="240" w:lineRule="auto"/>
      </w:pPr>
      <w:r w:rsidRPr="000C478D">
        <w:t xml:space="preserve">Source: </w:t>
      </w:r>
      <w:hyperlink r:id="rId22" w:history="1">
        <w:r w:rsidRPr="000C478D">
          <w:rPr>
            <w:rStyle w:val="Hyperlink"/>
          </w:rPr>
          <w:t>https://energynow.com/2026/01/mexico-to-seek-diplomatic-solution</w:t>
        </w:r>
      </w:hyperlink>
      <w:r w:rsidRPr="000C478D">
        <w:t xml:space="preserve"> </w:t>
      </w:r>
    </w:p>
    <w:p w14:paraId="7D3A53B2" w14:textId="77777777" w:rsidR="000C478D" w:rsidRDefault="000C478D" w:rsidP="000C478D">
      <w:pPr>
        <w:spacing w:after="0" w:line="240" w:lineRule="auto"/>
      </w:pPr>
    </w:p>
    <w:p w14:paraId="2988508A" w14:textId="77777777" w:rsidR="000C478D" w:rsidRDefault="000C478D" w:rsidP="000C478D">
      <w:pPr>
        <w:spacing w:after="0" w:line="240" w:lineRule="auto"/>
      </w:pPr>
    </w:p>
    <w:p w14:paraId="5A25DAD1" w14:textId="3FEB826D" w:rsidR="000C478D" w:rsidRDefault="00F06B97" w:rsidP="00F06B97">
      <w:pPr>
        <w:spacing w:after="80" w:line="240" w:lineRule="auto"/>
        <w:rPr>
          <w:b/>
          <w:bCs/>
          <w:sz w:val="24"/>
          <w:szCs w:val="24"/>
        </w:rPr>
      </w:pPr>
      <w:r w:rsidRPr="00F06B97">
        <w:rPr>
          <w:b/>
          <w:bCs/>
          <w:sz w:val="24"/>
          <w:szCs w:val="24"/>
        </w:rPr>
        <w:t>(U) Venezuela’s National Assembly to Discuss Sweetened Oil Reform</w:t>
      </w:r>
    </w:p>
    <w:p w14:paraId="5F72E23A" w14:textId="77777777" w:rsidR="002E39C9" w:rsidRPr="002E39C9" w:rsidRDefault="002E39C9" w:rsidP="002E39C9">
      <w:pPr>
        <w:spacing w:after="0" w:line="240" w:lineRule="auto"/>
      </w:pPr>
      <w:r w:rsidRPr="002E39C9">
        <w:t xml:space="preserve">Lawmakers are expected to discuss a sweetened reform of Venezuela’s main oil after a proposal submitted by interim President Delcy Rodriguez was modified to introduce a new hydrocarbon tax, the possibility of asset privatizations and oilfield operation outsourcing, a draft seen by Reuters showed. The changes are expected to encourage oil and gas production increases and foreign investment following a $100 billion reconstruction plan for the industry proposed by U.S. President Donald Trump this month after the U.S. capture of President Nicolas Maduro. The fast-tracked discussion of the backbone of the country’s oil industry comes after 20 years of strict nationalization and the expropriation of assets previously owned by foreign companies including U.S. majors Exxon Mobil and ConocoPhillips, which have not been fully compensated after years of arbitrations and lawsuits. The proposed reform also intends to formalize an oil production sharing model first introduced by Maduro and negotiated with little known energy firms in recent years. Changes to the text added in recent days aim to reduce income tax for energy projects while introducing a new ‘hydrocarbon </w:t>
      </w:r>
      <w:proofErr w:type="gramStart"/>
      <w:r w:rsidRPr="002E39C9">
        <w:t>tax,’</w:t>
      </w:r>
      <w:proofErr w:type="gramEnd"/>
      <w:r w:rsidRPr="002E39C9">
        <w:t xml:space="preserve"> which would be regulated in separate legislation.</w:t>
      </w:r>
    </w:p>
    <w:p w14:paraId="2CFCC18C" w14:textId="10DB7F03" w:rsidR="00F06B97" w:rsidRDefault="002E39C9" w:rsidP="002E39C9">
      <w:pPr>
        <w:spacing w:after="0" w:line="240" w:lineRule="auto"/>
      </w:pPr>
      <w:r w:rsidRPr="002E39C9">
        <w:t xml:space="preserve">Source: </w:t>
      </w:r>
      <w:hyperlink r:id="rId23" w:history="1">
        <w:r w:rsidRPr="002E39C9">
          <w:rPr>
            <w:rStyle w:val="Hyperlink"/>
          </w:rPr>
          <w:t>https://energynow.comvenezuelas-national-assembly-to-discuss-sweetened-oil-reform</w:t>
        </w:r>
      </w:hyperlink>
      <w:r w:rsidRPr="002E39C9">
        <w:t xml:space="preserve"> </w:t>
      </w:r>
    </w:p>
    <w:p w14:paraId="69103D43" w14:textId="77777777" w:rsidR="001D5DB2" w:rsidRDefault="001D5DB2" w:rsidP="002E39C9">
      <w:pPr>
        <w:spacing w:after="0" w:line="240" w:lineRule="auto"/>
      </w:pPr>
    </w:p>
    <w:p w14:paraId="5BED6B5B" w14:textId="77777777" w:rsidR="001D5DB2" w:rsidRDefault="001D5DB2" w:rsidP="002E39C9">
      <w:pPr>
        <w:spacing w:after="0" w:line="240" w:lineRule="auto"/>
      </w:pPr>
    </w:p>
    <w:p w14:paraId="2F673828" w14:textId="05392CBA" w:rsidR="001D5DB2" w:rsidRDefault="00584457" w:rsidP="00584457">
      <w:pPr>
        <w:spacing w:after="80" w:line="240" w:lineRule="auto"/>
        <w:rPr>
          <w:b/>
          <w:bCs/>
          <w:sz w:val="24"/>
          <w:szCs w:val="24"/>
        </w:rPr>
      </w:pPr>
      <w:r w:rsidRPr="00584457">
        <w:rPr>
          <w:b/>
          <w:bCs/>
          <w:sz w:val="24"/>
          <w:szCs w:val="24"/>
        </w:rPr>
        <w:t>(U) Trump Says India will Buy Oil from Venezuela</w:t>
      </w:r>
    </w:p>
    <w:p w14:paraId="49D639C4" w14:textId="77777777" w:rsidR="00EE3110" w:rsidRPr="00EE3110" w:rsidRDefault="00EE3110" w:rsidP="00EE3110">
      <w:pPr>
        <w:spacing w:after="0" w:line="240" w:lineRule="auto"/>
      </w:pPr>
      <w:r w:rsidRPr="00EE3110">
        <w:t>U.S. President Donald Trump said India will buy Venezuelan oil, helping to replace some of the Russian oil that the world’s third-biggest oil importer buys. “We’ve already made that deal, the concept of the deal,” Trump told reporters aboard Air Force One as he traveled to his vacation home in Florida from Washington. Reuters reported that the United States has told Delhi it could soon resume purchases of Venezuelan oil to help replace imports of Russian oil, citing three people familiar with the matter. India stopped buying oil from Caracas last year after Trump in March imposed a 25% tariff on countries buying Venezuelan oil.</w:t>
      </w:r>
    </w:p>
    <w:p w14:paraId="253EECCE" w14:textId="43B5A7A0" w:rsidR="00584457" w:rsidRPr="00EE3110" w:rsidRDefault="00EE3110" w:rsidP="00EE3110">
      <w:pPr>
        <w:spacing w:after="0" w:line="240" w:lineRule="auto"/>
      </w:pPr>
      <w:r w:rsidRPr="00EE3110">
        <w:t xml:space="preserve">Source: </w:t>
      </w:r>
      <w:hyperlink r:id="rId24" w:history="1">
        <w:r w:rsidRPr="00EE3110">
          <w:rPr>
            <w:rStyle w:val="Hyperlink"/>
          </w:rPr>
          <w:t>https://energynow.com/2026/02/trump-says-india-will-buy-oil-from-venezuela/</w:t>
        </w:r>
      </w:hyperlink>
      <w:r w:rsidRPr="00EE3110">
        <w:t xml:space="preserve"> </w:t>
      </w:r>
    </w:p>
    <w:p w14:paraId="3F835208" w14:textId="77777777" w:rsidR="000B0053" w:rsidRPr="005C6988" w:rsidRDefault="000B0053" w:rsidP="000B0053">
      <w:pPr>
        <w:spacing w:after="80" w:line="240" w:lineRule="auto"/>
        <w:rPr>
          <w:b/>
          <w:bCs/>
          <w:sz w:val="24"/>
          <w:szCs w:val="24"/>
        </w:rPr>
      </w:pPr>
    </w:p>
    <w:p w14:paraId="1FFE582A" w14:textId="77777777" w:rsidR="001B6795" w:rsidRPr="00251B36" w:rsidRDefault="001B6795" w:rsidP="001B6795">
      <w:pPr>
        <w:spacing w:after="0"/>
        <w:ind w:left="-540" w:right="-540"/>
        <w:rPr>
          <w:rFonts w:ascii="Arial" w:hAnsi="Arial" w:cs="Arial"/>
        </w:rPr>
      </w:pPr>
    </w:p>
    <w:p w14:paraId="7B88FB87" w14:textId="77777777" w:rsidR="001B6795" w:rsidRDefault="001B6795" w:rsidP="001B6795">
      <w:pPr>
        <w:spacing w:after="0"/>
        <w:ind w:left="-540" w:right="-540"/>
        <w:rPr>
          <w:rFonts w:ascii="Arial" w:hAnsi="Arial" w:cs="Arial"/>
          <w:b/>
        </w:rPr>
      </w:pPr>
    </w:p>
    <w:p w14:paraId="512653B1" w14:textId="77777777" w:rsidR="001B6795" w:rsidRDefault="001B6795" w:rsidP="001B6795">
      <w:pPr>
        <w:spacing w:after="0"/>
        <w:ind w:left="-540" w:right="-540"/>
        <w:rPr>
          <w:rFonts w:ascii="Arial" w:hAnsi="Arial" w:cs="Arial"/>
          <w:b/>
        </w:rPr>
      </w:pPr>
    </w:p>
    <w:p w14:paraId="46658BA3" w14:textId="77777777" w:rsidR="001B6795" w:rsidRDefault="001B6795" w:rsidP="001B6795">
      <w:pPr>
        <w:spacing w:after="0"/>
        <w:ind w:left="-540" w:right="-540"/>
        <w:rPr>
          <w:rFonts w:ascii="Arial" w:hAnsi="Arial" w:cs="Arial"/>
          <w:b/>
        </w:rPr>
      </w:pPr>
    </w:p>
    <w:p w14:paraId="40AAB9FE" w14:textId="77777777" w:rsidR="001B6795" w:rsidRDefault="001B6795" w:rsidP="001B6795">
      <w:pPr>
        <w:spacing w:after="0"/>
        <w:ind w:left="-540" w:right="-540"/>
        <w:rPr>
          <w:rFonts w:ascii="Arial" w:hAnsi="Arial" w:cs="Arial"/>
          <w:b/>
        </w:rPr>
      </w:pPr>
    </w:p>
    <w:p w14:paraId="70AE0D94" w14:textId="77777777" w:rsidR="001B6795" w:rsidRDefault="001B6795" w:rsidP="001B6795">
      <w:pPr>
        <w:spacing w:after="0"/>
        <w:ind w:left="-540" w:right="-540"/>
        <w:rPr>
          <w:rFonts w:ascii="Arial" w:hAnsi="Arial" w:cs="Arial"/>
          <w:b/>
        </w:rPr>
      </w:pPr>
    </w:p>
    <w:p w14:paraId="56FBB72F" w14:textId="77777777" w:rsidR="00133A88" w:rsidRDefault="00133A88" w:rsidP="00027A2B">
      <w:pPr>
        <w:rPr>
          <w:b/>
          <w:bCs/>
          <w:color w:val="ED0000"/>
          <w:sz w:val="24"/>
          <w:szCs w:val="24"/>
        </w:rPr>
      </w:pPr>
    </w:p>
    <w:p w14:paraId="134F5F88" w14:textId="77777777" w:rsidR="00133A88" w:rsidRDefault="00133A88" w:rsidP="00027A2B">
      <w:pPr>
        <w:rPr>
          <w:b/>
          <w:bCs/>
          <w:color w:val="ED0000"/>
          <w:sz w:val="24"/>
          <w:szCs w:val="24"/>
        </w:rPr>
      </w:pPr>
    </w:p>
    <w:p w14:paraId="045756FE" w14:textId="77777777" w:rsidR="00133A88" w:rsidRDefault="00133A88" w:rsidP="00027A2B">
      <w:pPr>
        <w:rPr>
          <w:b/>
          <w:bCs/>
          <w:color w:val="ED0000"/>
          <w:sz w:val="24"/>
          <w:szCs w:val="24"/>
        </w:rPr>
      </w:pPr>
    </w:p>
    <w:p w14:paraId="7723B854" w14:textId="77777777" w:rsidR="00100DC8" w:rsidRDefault="00100DC8" w:rsidP="00100DC8">
      <w:pPr>
        <w:jc w:val="center"/>
        <w:rPr>
          <w:b/>
          <w:bCs/>
          <w:sz w:val="56"/>
          <w:szCs w:val="56"/>
        </w:rPr>
      </w:pPr>
    </w:p>
    <w:p w14:paraId="44B4B5D3" w14:textId="77777777" w:rsidR="00100DC8" w:rsidRDefault="00100DC8" w:rsidP="00100DC8">
      <w:pPr>
        <w:jc w:val="center"/>
        <w:rPr>
          <w:b/>
          <w:bCs/>
          <w:sz w:val="56"/>
          <w:szCs w:val="56"/>
        </w:rPr>
      </w:pPr>
    </w:p>
    <w:p w14:paraId="7B1EA27E" w14:textId="77777777" w:rsidR="00100DC8" w:rsidRDefault="00100DC8" w:rsidP="00100DC8">
      <w:pPr>
        <w:jc w:val="center"/>
        <w:rPr>
          <w:b/>
          <w:bCs/>
          <w:sz w:val="56"/>
          <w:szCs w:val="56"/>
        </w:rPr>
      </w:pPr>
    </w:p>
    <w:p w14:paraId="58193476" w14:textId="77777777" w:rsidR="00100DC8" w:rsidRDefault="00100DC8" w:rsidP="00100DC8">
      <w:pPr>
        <w:jc w:val="center"/>
        <w:rPr>
          <w:b/>
          <w:bCs/>
          <w:sz w:val="56"/>
          <w:szCs w:val="56"/>
        </w:rPr>
      </w:pPr>
    </w:p>
    <w:p w14:paraId="59FC85EA" w14:textId="614CBDC6" w:rsidR="00133A88" w:rsidRPr="00100DC8" w:rsidRDefault="000A73FC" w:rsidP="00100DC8">
      <w:pPr>
        <w:jc w:val="center"/>
        <w:rPr>
          <w:b/>
          <w:bCs/>
          <w:sz w:val="56"/>
          <w:szCs w:val="56"/>
        </w:rPr>
      </w:pPr>
      <w:r w:rsidRPr="00100DC8">
        <w:rPr>
          <w:b/>
          <w:bCs/>
          <w:sz w:val="56"/>
          <w:szCs w:val="56"/>
        </w:rPr>
        <w:t>This Section Intentionally Left Blank</w:t>
      </w:r>
    </w:p>
    <w:p w14:paraId="6C89BA2D" w14:textId="77777777" w:rsidR="00133A88" w:rsidRDefault="00133A88" w:rsidP="00027A2B">
      <w:pPr>
        <w:rPr>
          <w:b/>
          <w:bCs/>
          <w:color w:val="ED0000"/>
          <w:sz w:val="24"/>
          <w:szCs w:val="24"/>
        </w:rPr>
      </w:pPr>
    </w:p>
    <w:p w14:paraId="0BF9E2C5" w14:textId="77777777" w:rsidR="00133A88" w:rsidRDefault="00133A88" w:rsidP="00027A2B">
      <w:pPr>
        <w:rPr>
          <w:b/>
          <w:bCs/>
          <w:color w:val="ED0000"/>
          <w:sz w:val="24"/>
          <w:szCs w:val="24"/>
        </w:rPr>
      </w:pPr>
    </w:p>
    <w:p w14:paraId="3E3B266E" w14:textId="77777777" w:rsidR="00133A88" w:rsidRDefault="00133A88" w:rsidP="00027A2B">
      <w:pPr>
        <w:rPr>
          <w:b/>
          <w:bCs/>
          <w:color w:val="ED0000"/>
          <w:sz w:val="24"/>
          <w:szCs w:val="24"/>
        </w:rPr>
      </w:pPr>
    </w:p>
    <w:p w14:paraId="2DAEA6A7" w14:textId="77777777" w:rsidR="00133A88" w:rsidRDefault="00133A88" w:rsidP="00027A2B">
      <w:pPr>
        <w:rPr>
          <w:b/>
          <w:bCs/>
          <w:color w:val="ED0000"/>
          <w:sz w:val="24"/>
          <w:szCs w:val="24"/>
        </w:rPr>
      </w:pPr>
    </w:p>
    <w:p w14:paraId="3AE03BCD" w14:textId="77777777" w:rsidR="00133A88" w:rsidRDefault="00133A88" w:rsidP="00027A2B">
      <w:pPr>
        <w:rPr>
          <w:b/>
          <w:bCs/>
          <w:color w:val="ED0000"/>
          <w:sz w:val="24"/>
          <w:szCs w:val="24"/>
        </w:rPr>
      </w:pPr>
    </w:p>
    <w:p w14:paraId="08F91E6E" w14:textId="77777777" w:rsidR="00100DC8" w:rsidRDefault="00100DC8" w:rsidP="00027A2B">
      <w:pPr>
        <w:rPr>
          <w:b/>
          <w:bCs/>
          <w:color w:val="ED0000"/>
          <w:sz w:val="24"/>
          <w:szCs w:val="24"/>
        </w:rPr>
      </w:pPr>
    </w:p>
    <w:p w14:paraId="2176269D" w14:textId="77777777" w:rsidR="00100DC8" w:rsidRDefault="00100DC8" w:rsidP="00027A2B">
      <w:pPr>
        <w:rPr>
          <w:b/>
          <w:bCs/>
          <w:color w:val="ED0000"/>
          <w:sz w:val="24"/>
          <w:szCs w:val="24"/>
        </w:rPr>
      </w:pPr>
    </w:p>
    <w:p w14:paraId="33A2E526" w14:textId="77777777" w:rsidR="00100DC8" w:rsidRDefault="00100DC8" w:rsidP="00027A2B">
      <w:pPr>
        <w:rPr>
          <w:b/>
          <w:bCs/>
          <w:color w:val="ED0000"/>
          <w:sz w:val="24"/>
          <w:szCs w:val="24"/>
        </w:rPr>
      </w:pPr>
    </w:p>
    <w:p w14:paraId="6F8BD34B" w14:textId="77777777" w:rsidR="00100DC8" w:rsidRDefault="00100DC8" w:rsidP="00027A2B">
      <w:pPr>
        <w:rPr>
          <w:b/>
          <w:bCs/>
          <w:color w:val="ED0000"/>
          <w:sz w:val="24"/>
          <w:szCs w:val="24"/>
        </w:rPr>
      </w:pPr>
    </w:p>
    <w:p w14:paraId="46FD335F" w14:textId="77777777" w:rsidR="00100DC8" w:rsidRDefault="00100DC8" w:rsidP="00027A2B">
      <w:pPr>
        <w:rPr>
          <w:b/>
          <w:bCs/>
          <w:color w:val="ED0000"/>
          <w:sz w:val="24"/>
          <w:szCs w:val="24"/>
        </w:rPr>
      </w:pPr>
    </w:p>
    <w:p w14:paraId="31A0B7C2" w14:textId="77777777" w:rsidR="00100DC8" w:rsidRDefault="00100DC8" w:rsidP="00027A2B">
      <w:pPr>
        <w:rPr>
          <w:b/>
          <w:bCs/>
          <w:color w:val="ED0000"/>
          <w:sz w:val="24"/>
          <w:szCs w:val="24"/>
        </w:rPr>
      </w:pPr>
    </w:p>
    <w:p w14:paraId="604BCB78" w14:textId="7AA89D1F" w:rsidR="00FC76CA" w:rsidRPr="00027A2B" w:rsidRDefault="00251B36" w:rsidP="00027A2B">
      <w:pPr>
        <w:rPr>
          <w:b/>
          <w:bCs/>
          <w:color w:val="ED0000"/>
          <w:sz w:val="24"/>
          <w:szCs w:val="24"/>
        </w:rPr>
      </w:pPr>
      <w:r w:rsidRPr="00027A2B">
        <w:rPr>
          <w:b/>
          <w:bCs/>
          <w:color w:val="ED0000"/>
          <w:sz w:val="24"/>
          <w:szCs w:val="24"/>
        </w:rPr>
        <w:t xml:space="preserve">The </w:t>
      </w:r>
      <w:bookmarkStart w:id="3" w:name="_Hlk34224639"/>
      <w:r w:rsidR="0092223B" w:rsidRPr="00027A2B">
        <w:rPr>
          <w:b/>
          <w:bCs/>
          <w:color w:val="ED0000"/>
          <w:sz w:val="24"/>
          <w:szCs w:val="24"/>
        </w:rPr>
        <w:t>CI/KR Ticker</w:t>
      </w:r>
      <w:r w:rsidRPr="00027A2B">
        <w:rPr>
          <w:b/>
          <w:bCs/>
          <w:color w:val="ED0000"/>
          <w:sz w:val="24"/>
          <w:szCs w:val="24"/>
        </w:rPr>
        <w:t xml:space="preserve"> </w:t>
      </w:r>
      <w:bookmarkEnd w:id="3"/>
      <w:r w:rsidRPr="00027A2B">
        <w:rPr>
          <w:b/>
          <w:bCs/>
          <w:color w:val="ED0000"/>
          <w:sz w:val="24"/>
          <w:szCs w:val="24"/>
        </w:rPr>
        <w:t xml:space="preserve">is a non-commercial publication intended to educate and inform. Further reproduction or redistribution is subject to original copyright restrictions. NDSLIC provides no warranty of ownership of the copyright, or accuracy with respect to the original source material. If you have any items that you would like to see added to the </w:t>
      </w:r>
      <w:r w:rsidR="0092223B" w:rsidRPr="00027A2B">
        <w:rPr>
          <w:b/>
          <w:bCs/>
          <w:color w:val="ED0000"/>
          <w:sz w:val="24"/>
          <w:szCs w:val="24"/>
        </w:rPr>
        <w:t>CI/KR Ticker</w:t>
      </w:r>
      <w:r w:rsidRPr="00027A2B">
        <w:rPr>
          <w:b/>
          <w:bCs/>
          <w:color w:val="ED0000"/>
          <w:sz w:val="24"/>
          <w:szCs w:val="24"/>
        </w:rPr>
        <w:t>, you can contact the NDSLIC at ndslic@nd.gov or 701-328-8172.</w:t>
      </w:r>
    </w:p>
    <w:sectPr w:rsidR="00FC76CA" w:rsidRPr="00027A2B" w:rsidSect="00823888">
      <w:pgSz w:w="12240" w:h="15840"/>
      <w:pgMar w:top="720" w:right="720" w:bottom="720" w:left="72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D089" w14:textId="77777777" w:rsidR="00050D57" w:rsidRDefault="00050D57" w:rsidP="00782EA3">
      <w:pPr>
        <w:spacing w:after="0" w:line="240" w:lineRule="auto"/>
      </w:pPr>
      <w:r>
        <w:separator/>
      </w:r>
    </w:p>
  </w:endnote>
  <w:endnote w:type="continuationSeparator" w:id="0">
    <w:p w14:paraId="619B164E" w14:textId="77777777" w:rsidR="00050D57" w:rsidRDefault="00050D57" w:rsidP="0078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680C" w14:textId="77777777" w:rsidR="00782EA3" w:rsidRPr="00027A2B" w:rsidRDefault="00782EA3" w:rsidP="00027A2B">
    <w:pPr>
      <w:jc w:val="center"/>
      <w:rPr>
        <w:rFonts w:asciiTheme="majorHAnsi" w:hAnsiTheme="majorHAnsi" w:cstheme="majorHAnsi"/>
        <w:b/>
        <w:bCs/>
        <w:color w:val="007BB8"/>
        <w:sz w:val="24"/>
        <w:szCs w:val="24"/>
      </w:rPr>
    </w:pPr>
    <w:r w:rsidRPr="00027A2B">
      <w:rPr>
        <w:rFonts w:asciiTheme="majorHAnsi" w:hAnsiTheme="majorHAnsi" w:cstheme="majorHAnsi"/>
        <w:b/>
        <w:bCs/>
        <w:color w:val="007BB8"/>
        <w:sz w:val="24"/>
        <w:szCs w:val="24"/>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10F7" w14:textId="77777777" w:rsidR="00050D57" w:rsidRDefault="00050D57" w:rsidP="00782EA3">
      <w:pPr>
        <w:spacing w:after="0" w:line="240" w:lineRule="auto"/>
      </w:pPr>
      <w:r>
        <w:separator/>
      </w:r>
    </w:p>
  </w:footnote>
  <w:footnote w:type="continuationSeparator" w:id="0">
    <w:p w14:paraId="2F89942D" w14:textId="77777777" w:rsidR="00050D57" w:rsidRDefault="00050D57" w:rsidP="0078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6C3A" w14:textId="77777777" w:rsidR="00782EA3" w:rsidRPr="00027A2B" w:rsidRDefault="00782EA3" w:rsidP="00027A2B">
    <w:pPr>
      <w:jc w:val="center"/>
      <w:rPr>
        <w:rFonts w:asciiTheme="majorHAnsi" w:hAnsiTheme="majorHAnsi" w:cstheme="majorHAnsi"/>
        <w:b/>
        <w:bCs/>
        <w:color w:val="007BB8"/>
        <w:sz w:val="24"/>
        <w:szCs w:val="24"/>
      </w:rPr>
    </w:pPr>
    <w:r w:rsidRPr="00027A2B">
      <w:rPr>
        <w:rFonts w:asciiTheme="majorHAnsi" w:hAnsiTheme="majorHAnsi" w:cstheme="majorHAnsi"/>
        <w:b/>
        <w:bCs/>
        <w:color w:val="007BB8"/>
        <w:sz w:val="24"/>
        <w:szCs w:val="24"/>
      </w:rPr>
      <w:t>UNCLASSIFIED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27A2B"/>
    <w:rsid w:val="000349E5"/>
    <w:rsid w:val="00035A26"/>
    <w:rsid w:val="000458F4"/>
    <w:rsid w:val="00045ACE"/>
    <w:rsid w:val="00045DE9"/>
    <w:rsid w:val="00050D57"/>
    <w:rsid w:val="000669CC"/>
    <w:rsid w:val="00076F83"/>
    <w:rsid w:val="000A3F07"/>
    <w:rsid w:val="000A73FC"/>
    <w:rsid w:val="000B0053"/>
    <w:rsid w:val="000B1EE3"/>
    <w:rsid w:val="000C3711"/>
    <w:rsid w:val="000C478D"/>
    <w:rsid w:val="000D7759"/>
    <w:rsid w:val="000E42BA"/>
    <w:rsid w:val="000F1990"/>
    <w:rsid w:val="00100DC8"/>
    <w:rsid w:val="001106A9"/>
    <w:rsid w:val="001262D2"/>
    <w:rsid w:val="00133A88"/>
    <w:rsid w:val="001456A9"/>
    <w:rsid w:val="001617F8"/>
    <w:rsid w:val="00176D5B"/>
    <w:rsid w:val="00181909"/>
    <w:rsid w:val="001B6795"/>
    <w:rsid w:val="001C5132"/>
    <w:rsid w:val="001D5DB2"/>
    <w:rsid w:val="001E6259"/>
    <w:rsid w:val="001E6950"/>
    <w:rsid w:val="00203924"/>
    <w:rsid w:val="00212CB6"/>
    <w:rsid w:val="00217CAD"/>
    <w:rsid w:val="002220D0"/>
    <w:rsid w:val="0023601E"/>
    <w:rsid w:val="00237D03"/>
    <w:rsid w:val="00242118"/>
    <w:rsid w:val="00251B36"/>
    <w:rsid w:val="002B20FD"/>
    <w:rsid w:val="002C2317"/>
    <w:rsid w:val="002C2B82"/>
    <w:rsid w:val="002C6DC5"/>
    <w:rsid w:val="002D6175"/>
    <w:rsid w:val="002E39C9"/>
    <w:rsid w:val="002E4123"/>
    <w:rsid w:val="00301B31"/>
    <w:rsid w:val="00312D2A"/>
    <w:rsid w:val="00333277"/>
    <w:rsid w:val="0034471A"/>
    <w:rsid w:val="00351323"/>
    <w:rsid w:val="00371F06"/>
    <w:rsid w:val="003935DE"/>
    <w:rsid w:val="003A3630"/>
    <w:rsid w:val="003C1AE9"/>
    <w:rsid w:val="003D6FB9"/>
    <w:rsid w:val="00404A42"/>
    <w:rsid w:val="00416DD3"/>
    <w:rsid w:val="004346A3"/>
    <w:rsid w:val="00437943"/>
    <w:rsid w:val="00456B8A"/>
    <w:rsid w:val="00494731"/>
    <w:rsid w:val="004C2197"/>
    <w:rsid w:val="004C45B7"/>
    <w:rsid w:val="004E24EA"/>
    <w:rsid w:val="00584457"/>
    <w:rsid w:val="005C6988"/>
    <w:rsid w:val="00620D53"/>
    <w:rsid w:val="00634E89"/>
    <w:rsid w:val="006731E3"/>
    <w:rsid w:val="00681ECC"/>
    <w:rsid w:val="00690AE0"/>
    <w:rsid w:val="0069124F"/>
    <w:rsid w:val="006A1D51"/>
    <w:rsid w:val="006B37A1"/>
    <w:rsid w:val="006E5AE7"/>
    <w:rsid w:val="006E7DAE"/>
    <w:rsid w:val="00727AB2"/>
    <w:rsid w:val="007515C3"/>
    <w:rsid w:val="0076562A"/>
    <w:rsid w:val="00782EA3"/>
    <w:rsid w:val="00794354"/>
    <w:rsid w:val="007A20AA"/>
    <w:rsid w:val="007E58E7"/>
    <w:rsid w:val="00811233"/>
    <w:rsid w:val="00823888"/>
    <w:rsid w:val="00857F98"/>
    <w:rsid w:val="00863095"/>
    <w:rsid w:val="00884A8C"/>
    <w:rsid w:val="008908F9"/>
    <w:rsid w:val="008C2A54"/>
    <w:rsid w:val="008C58AB"/>
    <w:rsid w:val="0092223B"/>
    <w:rsid w:val="00946A5F"/>
    <w:rsid w:val="00970072"/>
    <w:rsid w:val="00990123"/>
    <w:rsid w:val="00990707"/>
    <w:rsid w:val="00991D19"/>
    <w:rsid w:val="009B3F00"/>
    <w:rsid w:val="009B7EDE"/>
    <w:rsid w:val="009D3DC3"/>
    <w:rsid w:val="009D72C6"/>
    <w:rsid w:val="00A123B2"/>
    <w:rsid w:val="00A548FA"/>
    <w:rsid w:val="00A54B9A"/>
    <w:rsid w:val="00A554C8"/>
    <w:rsid w:val="00A60B50"/>
    <w:rsid w:val="00AB0CF2"/>
    <w:rsid w:val="00AB4D49"/>
    <w:rsid w:val="00AC699B"/>
    <w:rsid w:val="00B167AD"/>
    <w:rsid w:val="00B17A94"/>
    <w:rsid w:val="00B63B6F"/>
    <w:rsid w:val="00B63D85"/>
    <w:rsid w:val="00B65F6D"/>
    <w:rsid w:val="00B73508"/>
    <w:rsid w:val="00BB237E"/>
    <w:rsid w:val="00BB282F"/>
    <w:rsid w:val="00BB2A1C"/>
    <w:rsid w:val="00BD13BA"/>
    <w:rsid w:val="00C42C9C"/>
    <w:rsid w:val="00C55A7F"/>
    <w:rsid w:val="00C61189"/>
    <w:rsid w:val="00CE677B"/>
    <w:rsid w:val="00D1319B"/>
    <w:rsid w:val="00D439D0"/>
    <w:rsid w:val="00D51D3B"/>
    <w:rsid w:val="00D57EBD"/>
    <w:rsid w:val="00D724F6"/>
    <w:rsid w:val="00D84517"/>
    <w:rsid w:val="00D87EC9"/>
    <w:rsid w:val="00D92A3B"/>
    <w:rsid w:val="00DA47DC"/>
    <w:rsid w:val="00DA524F"/>
    <w:rsid w:val="00DA7902"/>
    <w:rsid w:val="00DB4375"/>
    <w:rsid w:val="00DC729F"/>
    <w:rsid w:val="00DE1975"/>
    <w:rsid w:val="00E04434"/>
    <w:rsid w:val="00E27A6F"/>
    <w:rsid w:val="00E27F1A"/>
    <w:rsid w:val="00E36E76"/>
    <w:rsid w:val="00E4222D"/>
    <w:rsid w:val="00E466B3"/>
    <w:rsid w:val="00E5739C"/>
    <w:rsid w:val="00E63A99"/>
    <w:rsid w:val="00EA3414"/>
    <w:rsid w:val="00EB29BB"/>
    <w:rsid w:val="00EE3110"/>
    <w:rsid w:val="00F06B97"/>
    <w:rsid w:val="00F27F66"/>
    <w:rsid w:val="00F31CEE"/>
    <w:rsid w:val="00F3714A"/>
    <w:rsid w:val="00F40F3D"/>
    <w:rsid w:val="00F42DDE"/>
    <w:rsid w:val="00F507D2"/>
    <w:rsid w:val="00F73799"/>
    <w:rsid w:val="00FB3010"/>
    <w:rsid w:val="00FC76CA"/>
    <w:rsid w:val="00FD4CF8"/>
    <w:rsid w:val="00FF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C850"/>
  <w15:chartTrackingRefBased/>
  <w15:docId w15:val="{4B9E8C4E-FF94-4A1D-A50D-B55FF4BE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D51"/>
  </w:style>
  <w:style w:type="paragraph" w:styleId="Heading1">
    <w:name w:val="heading 1"/>
    <w:basedOn w:val="Normal"/>
    <w:next w:val="Normal"/>
    <w:link w:val="Heading1Char"/>
    <w:uiPriority w:val="9"/>
    <w:qFormat/>
    <w:rsid w:val="00D57E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5D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49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character" w:customStyle="1" w:styleId="Heading1Char">
    <w:name w:val="Heading 1 Char"/>
    <w:basedOn w:val="DefaultParagraphFont"/>
    <w:link w:val="Heading1"/>
    <w:uiPriority w:val="9"/>
    <w:rsid w:val="00D57EB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5D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349E5"/>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D4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mr.nd.gov/dmr/news/middle-three-forks-2nd-bench-bakken-petroleum" TargetMode="External"/><Relationship Id="rId18" Type="http://schemas.openxmlformats.org/officeDocument/2006/relationships/hyperlink" Target="https://insideclimatenews.org/news/14012026/tidal-turbine-study-tracks-impa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namericas.com/en/news/atiaia-cancels-us280mn-solar-energy-project-in-brazi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sdnewswatch.org/electric-power-transmission-crypto-data-mining-s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ernor.nd.gov/news/armstrong-energy-secretary-wright-north-dakota" TargetMode="External"/><Relationship Id="rId20" Type="http://schemas.openxmlformats.org/officeDocument/2006/relationships/hyperlink" Target="https://energynow.com/2026/02/us-drillers-add-oil-and-gas-rigs-for-second-we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nergynow.com/2026/02/trump-says-india-will-buy-oil-from-venezuela/" TargetMode="External"/><Relationship Id="rId5" Type="http://schemas.openxmlformats.org/officeDocument/2006/relationships/settings" Target="settings.xml"/><Relationship Id="rId15" Type="http://schemas.openxmlformats.org/officeDocument/2006/relationships/hyperlink" Target="https://northdakotamonitor.com/2026/01/20/continental-resources-to-stop-drilling" TargetMode="External"/><Relationship Id="rId23" Type="http://schemas.openxmlformats.org/officeDocument/2006/relationships/hyperlink" Target="https://energynow.comvenezuelas-national-assembly-to-discuss-sweetened-oil-reform" TargetMode="External"/><Relationship Id="rId10" Type="http://schemas.microsoft.com/office/2007/relationships/hdphoto" Target="media/hdphoto1.wdp"/><Relationship Id="rId19" Type="http://schemas.openxmlformats.org/officeDocument/2006/relationships/hyperlink" Target="https://energynow.com/2026/02/devon-energy-and-coterra-energy-to-combine-creat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fyrtv.com/2026/01/28/mdu-explains-power-conservation-request" TargetMode="External"/><Relationship Id="rId22" Type="http://schemas.openxmlformats.org/officeDocument/2006/relationships/hyperlink" Target="https://energynow.com/2026/01/mexico-to-seek-diplomatic-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10D131D4D7041BB20D86750B946ED" ma:contentTypeVersion="4" ma:contentTypeDescription="Create a new document." ma:contentTypeScope="" ma:versionID="77264bc3a8a8594349992f313100cbb9">
  <xsd:schema xmlns:xsd="http://www.w3.org/2001/XMLSchema" xmlns:xs="http://www.w3.org/2001/XMLSchema" xmlns:p="http://schemas.microsoft.com/office/2006/metadata/properties" xmlns:ns2="8ce33f14-06d8-4ac5-b5f1-9ba13ed7b331" targetNamespace="http://schemas.microsoft.com/office/2006/metadata/properties" ma:root="true" ma:fieldsID="186f36d89cb8bd4d7281c4bd9ff0f1ff" ns2:_="">
    <xsd:import namespace="8ce33f14-06d8-4ac5-b5f1-9ba13ed7b3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33f14-06d8-4ac5-b5f1-9ba13ed7b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20281-7241-4560-BEE1-A2450762E08E}">
  <ds:schemaRefs>
    <ds:schemaRef ds:uri="http://schemas.microsoft.com/sharepoint/v3/contenttype/forms"/>
  </ds:schemaRefs>
</ds:datastoreItem>
</file>

<file path=customXml/itemProps2.xml><?xml version="1.0" encoding="utf-8"?>
<ds:datastoreItem xmlns:ds="http://schemas.openxmlformats.org/officeDocument/2006/customXml" ds:itemID="{A8C04D6F-1F08-49E7-B714-760B8D51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33f14-06d8-4ac5-b5f1-9ba13ed7b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EB240-EDA2-4690-AC80-903E101BF6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2104</Words>
  <Characters>12118</Characters>
  <Application>Microsoft Office Word</Application>
  <DocSecurity>0</DocSecurity>
  <Lines>207</Lines>
  <Paragraphs>61</Paragraphs>
  <ScaleCrop>false</ScaleCrop>
  <HeadingPairs>
    <vt:vector size="2" baseType="variant">
      <vt:variant>
        <vt:lpstr>Title</vt:lpstr>
      </vt:variant>
      <vt:variant>
        <vt:i4>1</vt:i4>
      </vt:variant>
    </vt:vector>
  </HeadingPairs>
  <TitlesOfParts>
    <vt:vector size="1" baseType="lpstr">
      <vt:lpstr/>
    </vt:vector>
  </TitlesOfParts>
  <Company>North Dakota Attorney General</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Daniel G.</dc:creator>
  <cp:keywords/>
  <dc:description/>
  <cp:lastModifiedBy>Krueger, Daniel P.</cp:lastModifiedBy>
  <cp:revision>3</cp:revision>
  <dcterms:created xsi:type="dcterms:W3CDTF">2026-02-05T15:32:00Z</dcterms:created>
  <dcterms:modified xsi:type="dcterms:W3CDTF">2026-02-05T15:32:00Z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0x010100B6410D131D4D7041BB20D86750B946ED</vt:lpwstr>
  </property>
</Properties>
</file>